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w:t>
      </w:r>
    </w:p>
    <w:p>
      <w:pPr>
        <w:spacing w:after="0" w:line="15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5"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w:t>
      </w:r>
    </w:p>
    <w:p>
      <w:pPr>
        <w:spacing w:after="0" w:line="185"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17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May 2026</w:t>
      </w:r>
    </w:p>
    <w:p>
      <w:pPr>
        <w:spacing w:after="0" w:line="185"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Commission File Number 1-14728</w:t>
      </w:r>
    </w:p>
    <w:p>
      <w:pPr>
        <w:spacing w:after="0" w:line="185"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w:t>
      </w:r>
    </w:p>
    <w:p>
      <w:pPr>
        <w:spacing w:after="0" w:line="182"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29"/>
          <w:szCs w:val="29"/>
          <w:b w:val="1"/>
          <w:bCs w:val="1"/>
          <w:color w:val="auto"/>
        </w:rPr>
        <w:t>LATAM Airlines Group S.A.</w:t>
      </w:r>
    </w:p>
    <w:p>
      <w:pPr>
        <w:spacing w:after="0" w:line="4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7"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w:t>
      </w:r>
    </w:p>
    <w:p>
      <w:pPr>
        <w:spacing w:after="0" w:line="17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Presidente Riesco 5711, 20th floor</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Las Condes</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Santiago, Chile</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9"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color w:val="auto"/>
        </w:rPr>
        <w:t xml:space="preserve">Form 20-F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Form 40-F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437515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462915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79"/>
          </w:cols>
          <w:pgMar w:left="980" w:top="144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40" w:type="dxa"/>
            <w:vAlign w:val="bottom"/>
            <w:gridSpan w:val="2"/>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w w:val="99"/>
              </w:rPr>
              <w:t>LATAM AIRLINES GROUP S.A.</w:t>
            </w:r>
          </w:p>
        </w:tc>
      </w:tr>
      <w:tr>
        <w:trPr>
          <w:trHeight w:val="405"/>
        </w:trPr>
        <w:tc>
          <w:tcPr>
            <w:tcW w:w="11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exhibit is attached:</w:t>
            </w:r>
          </w:p>
        </w:tc>
      </w:tr>
      <w:tr>
        <w:trPr>
          <w:trHeight w:val="432"/>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46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3"/>
        </w:trPr>
        <w:tc>
          <w:tcPr>
            <w:tcW w:w="170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9440" w:type="dxa"/>
            <w:vAlign w:val="bottom"/>
            <w:tcBorders>
              <w:top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LATAM Airlines Group 1Q 2026 Results</w:t>
            </w:r>
          </w:p>
        </w:tc>
      </w:tr>
      <w:tr>
        <w:trPr>
          <w:trHeight w:val="904"/>
        </w:trPr>
        <w:tc>
          <w:tcPr>
            <w:tcW w:w="17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980" w:type="dxa"/>
            <w:vAlign w:val="bottom"/>
            <w:tcBorders>
              <w:top w:val="single" w:sz="8" w:color="0000FF"/>
            </w:tcBorders>
          </w:tcPr>
          <w:p>
            <w:pPr>
              <w:spacing w:after="0"/>
              <w:rPr>
                <w:sz w:val="24"/>
                <w:szCs w:val="24"/>
                <w:color w:val="auto"/>
              </w:rPr>
            </w:pPr>
          </w:p>
        </w:tc>
        <w:tc>
          <w:tcPr>
            <w:tcW w:w="6460" w:type="dxa"/>
            <w:vAlign w:val="bottom"/>
            <w:tcBorders>
              <w:top w:val="single" w:sz="8" w:color="CCEEFF"/>
            </w:tcBorders>
          </w:tcPr>
          <w:p>
            <w:pPr>
              <w:jc w:val="right"/>
              <w:ind w:right="5490"/>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240"/>
          </w:cols>
          <w:pgMar w:left="320" w:top="110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794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LATAM AIRLINES GROUP S.A.</w:t>
            </w:r>
          </w:p>
        </w:tc>
      </w:tr>
      <w:tr>
        <w:trPr>
          <w:trHeight w:val="499"/>
        </w:trPr>
        <w:tc>
          <w:tcPr>
            <w:tcW w:w="3280" w:type="dxa"/>
            <w:vAlign w:val="bottom"/>
          </w:tcPr>
          <w:p>
            <w:pPr>
              <w:spacing w:after="0"/>
              <w:rPr>
                <w:sz w:val="24"/>
                <w:szCs w:val="24"/>
                <w:color w:val="auto"/>
              </w:rPr>
            </w:pPr>
          </w:p>
        </w:tc>
        <w:tc>
          <w:tcPr>
            <w:tcW w:w="27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Ricardo Bottas</w:t>
            </w:r>
          </w:p>
        </w:tc>
      </w:tr>
      <w:tr>
        <w:trPr>
          <w:trHeight w:val="218"/>
        </w:trPr>
        <w:tc>
          <w:tcPr>
            <w:tcW w:w="3280" w:type="dxa"/>
            <w:vAlign w:val="bottom"/>
          </w:tcPr>
          <w:p>
            <w:pPr>
              <w:spacing w:after="0"/>
              <w:rPr>
                <w:sz w:val="18"/>
                <w:szCs w:val="18"/>
                <w:color w:val="auto"/>
              </w:rPr>
            </w:pPr>
          </w:p>
        </w:tc>
        <w:tc>
          <w:tcPr>
            <w:tcW w:w="27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Ricardo Bottas</w:t>
            </w:r>
          </w:p>
        </w:tc>
      </w:tr>
      <w:tr>
        <w:trPr>
          <w:trHeight w:val="234"/>
        </w:trPr>
        <w:tc>
          <w:tcPr>
            <w:tcW w:w="3280" w:type="dxa"/>
            <w:vAlign w:val="bottom"/>
          </w:tcPr>
          <w:p>
            <w:pPr>
              <w:spacing w:after="0"/>
              <w:rPr>
                <w:sz w:val="20"/>
                <w:szCs w:val="20"/>
                <w:color w:val="auto"/>
              </w:rPr>
            </w:pPr>
          </w:p>
        </w:tc>
        <w:tc>
          <w:tcPr>
            <w:tcW w:w="27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18"/>
        </w:trPr>
        <w:tc>
          <w:tcPr>
            <w:tcW w:w="3280" w:type="dxa"/>
            <w:vAlign w:val="bottom"/>
          </w:tcPr>
          <w:p>
            <w:pPr>
              <w:spacing w:after="0"/>
              <w:rPr>
                <w:sz w:val="24"/>
                <w:szCs w:val="24"/>
                <w:color w:val="auto"/>
              </w:rPr>
            </w:pPr>
          </w:p>
        </w:tc>
        <w:tc>
          <w:tcPr>
            <w:tcW w:w="272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2</w:t>
            </w:r>
          </w:p>
        </w:tc>
        <w:tc>
          <w:tcPr>
            <w:tcW w:w="5220" w:type="dxa"/>
            <w:vAlign w:val="bottom"/>
          </w:tcPr>
          <w:p>
            <w:pPr>
              <w:spacing w:after="0"/>
              <w:rPr>
                <w:sz w:val="24"/>
                <w:szCs w:val="24"/>
                <w:color w:val="auto"/>
              </w:rPr>
            </w:pPr>
          </w:p>
        </w:tc>
      </w:tr>
    </w:tbl>
    <w:p>
      <w:pPr>
        <w:sectPr>
          <w:pgSz w:w="11900" w:h="16838" w:orient="portrait"/>
          <w:cols w:equalWidth="0" w:num="1">
            <w:col w:w="11240"/>
          </w:cols>
          <w:pgMar w:left="320" w:top="1103" w:right="339" w:bottom="1440" w:gutter="0" w:footer="0" w:header="0"/>
        </w:sectPr>
      </w:pPr>
    </w:p>
    <w:bookmarkStart w:id="3" w:name="page4"/>
    <w:bookmarkEnd w:id="3"/>
    <w:p>
      <w:pPr>
        <w:ind w:left="140" w:right="10120"/>
        <w:spacing w:after="0" w:line="249" w:lineRule="auto"/>
        <w:rPr>
          <w:sz w:val="20"/>
          <w:szCs w:val="20"/>
          <w:color w:val="auto"/>
        </w:rPr>
      </w:pPr>
      <w:r>
        <w:rPr>
          <w:rFonts w:ascii="Arial" w:cs="Arial" w:eastAsia="Arial" w:hAnsi="Arial"/>
          <w:sz w:val="25"/>
          <w:szCs w:val="25"/>
          <w:i w:val="1"/>
          <w:i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582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582930"/>
                    </a:xfrm>
                    <a:prstGeom prst="rect">
                      <a:avLst/>
                    </a:prstGeom>
                    <a:noFill/>
                  </pic:spPr>
                </pic:pic>
              </a:graphicData>
            </a:graphic>
          </wp:anchor>
        </w:drawing>
        <w:t>1Q 2026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20" w:hanging="2"/>
        <w:spacing w:after="0" w:line="287" w:lineRule="auto"/>
        <w:rPr>
          <w:sz w:val="20"/>
          <w:szCs w:val="20"/>
          <w:color w:val="auto"/>
        </w:rPr>
      </w:pPr>
      <w:r>
        <w:rPr>
          <w:rFonts w:ascii="Arial" w:cs="Arial" w:eastAsia="Arial" w:hAnsi="Arial"/>
          <w:sz w:val="25"/>
          <w:szCs w:val="25"/>
          <w:b w:val="1"/>
          <w:bCs w:val="1"/>
          <w:color w:val="1B0088"/>
        </w:rPr>
        <w:t>LATAM delivers 19.8% adjusted operating margin and US$576 million in net income, on the back of 10.4% capacity growth, sustained by the strength of its business model</w:t>
      </w:r>
    </w:p>
    <w:p>
      <w:pPr>
        <w:spacing w:after="0" w:line="133" w:lineRule="exact"/>
        <w:rPr>
          <w:sz w:val="20"/>
          <w:szCs w:val="20"/>
          <w:color w:val="auto"/>
        </w:rPr>
      </w:pPr>
    </w:p>
    <w:p>
      <w:pPr>
        <w:jc w:val="both"/>
        <w:spacing w:after="0"/>
        <w:rPr>
          <w:sz w:val="20"/>
          <w:szCs w:val="20"/>
          <w:color w:val="auto"/>
        </w:rPr>
      </w:pPr>
      <w:r>
        <w:rPr>
          <w:rFonts w:ascii="Arial" w:cs="Arial" w:eastAsia="Arial" w:hAnsi="Arial"/>
          <w:sz w:val="16"/>
          <w:szCs w:val="16"/>
          <w:color w:val="808080"/>
        </w:rPr>
        <w:t>Santiago, Chile, May 5, 2026 – LATAM Airlines Group S.A. (NYSE: LTM; SSE: LTM) announced today its consolidated financial results for the first quarter ending March 31, 2026. References to "LATAM", "LATAM Airlines Group", the “Company” or the "parent company" pertain to LATAM Airlines Group S.A., and references to “LATAM group,” “we,” “us,” “our,” or the “group” refer to LATAM Airlines Group S.A. and its consolidated affiliates, both passenger and cargo affiliates. LATAM prepares its financial statements under IFRS as issued by the IASB, however, for ease of presentation and comparison, the Income Statement in this report is presented in an adapted US Format. On some occasions, adjustments to these Income Statement figures are made for Special Items. A table reconciling the figures adjusted for Special Items to their as-reported IFRS figures can be found at the end of the report. All figures in this report are expressed in U.S. dollars. Percentages and certain U.S. dollar, Chilean peso and Brazilian real amounts contained in this report have been rounded for ease of presentation. Any discrepancies in any table between totals and the sums of the amounts listed are due to rounding. The Brazilian real / U.S. dollar average exchange rate for the quarter was BRL 5.27 per USD (compared to BRL 5.85 per USD in 1Q 2025).</w:t>
      </w:r>
    </w:p>
    <w:p>
      <w:pPr>
        <w:spacing w:after="0" w:line="216"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1B0088"/>
        </w:rPr>
        <w:t>HIGHLIGHTS</w:t>
      </w: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180" w:type="dxa"/>
            <w:vAlign w:val="bottom"/>
            <w:tcBorders>
              <w:left w:val="single" w:sz="8" w:color="CACBCB"/>
              <w:right w:val="single" w:sz="8" w:color="CACBCB"/>
            </w:tcBorders>
            <w:shd w:val="clear" w:color="auto" w:fill="1B0088"/>
          </w:tcPr>
          <w:p>
            <w:pPr>
              <w:ind w:left="40"/>
              <w:spacing w:after="0"/>
              <w:rPr>
                <w:sz w:val="20"/>
                <w:szCs w:val="20"/>
                <w:color w:val="auto"/>
              </w:rPr>
            </w:pPr>
            <w:r>
              <w:rPr>
                <w:rFonts w:ascii="Arial" w:cs="Arial" w:eastAsia="Arial" w:hAnsi="Arial"/>
                <w:sz w:val="19"/>
                <w:szCs w:val="19"/>
                <w:b w:val="1"/>
                <w:bCs w:val="1"/>
                <w:color w:val="FFFFFF"/>
              </w:rPr>
              <w:t>Key Financial Results and Indicators</w:t>
            </w:r>
          </w:p>
        </w:tc>
        <w:tc>
          <w:tcPr>
            <w:tcW w:w="1320" w:type="dxa"/>
            <w:vAlign w:val="bottom"/>
            <w:tcBorders>
              <w:right w:val="single" w:sz="8" w:color="CACBCB"/>
            </w:tcBorders>
            <w:shd w:val="clear" w:color="auto" w:fill="1B0088"/>
          </w:tcPr>
          <w:p>
            <w:pPr>
              <w:jc w:val="center"/>
              <w:spacing w:after="0"/>
              <w:rPr>
                <w:sz w:val="20"/>
                <w:szCs w:val="20"/>
                <w:color w:val="auto"/>
              </w:rPr>
            </w:pPr>
            <w:r>
              <w:rPr>
                <w:rFonts w:ascii="Arial" w:cs="Arial" w:eastAsia="Arial" w:hAnsi="Arial"/>
                <w:sz w:val="19"/>
                <w:szCs w:val="19"/>
                <w:b w:val="1"/>
                <w:bCs w:val="1"/>
                <w:color w:val="FFFFFF"/>
                <w:w w:val="98"/>
              </w:rPr>
              <w:t>1Q26</w:t>
            </w:r>
          </w:p>
        </w:tc>
        <w:tc>
          <w:tcPr>
            <w:tcW w:w="1320" w:type="dxa"/>
            <w:vAlign w:val="bottom"/>
            <w:tcBorders>
              <w:right w:val="single" w:sz="8" w:color="CACBCB"/>
            </w:tcBorders>
            <w:shd w:val="clear" w:color="auto" w:fill="1B0088"/>
          </w:tcPr>
          <w:p>
            <w:pPr>
              <w:jc w:val="center"/>
              <w:spacing w:after="0"/>
              <w:rPr>
                <w:sz w:val="20"/>
                <w:szCs w:val="20"/>
                <w:color w:val="auto"/>
              </w:rPr>
            </w:pPr>
            <w:r>
              <w:rPr>
                <w:rFonts w:ascii="Arial" w:cs="Arial" w:eastAsia="Arial" w:hAnsi="Arial"/>
                <w:sz w:val="19"/>
                <w:szCs w:val="19"/>
                <w:b w:val="1"/>
                <w:bCs w:val="1"/>
                <w:color w:val="FFFFFF"/>
                <w:w w:val="98"/>
              </w:rPr>
              <w:t>1Q25</w:t>
            </w:r>
          </w:p>
        </w:tc>
        <w:tc>
          <w:tcPr>
            <w:tcW w:w="1340" w:type="dxa"/>
            <w:vAlign w:val="bottom"/>
            <w:tcBorders>
              <w:right w:val="single" w:sz="8" w:color="CACBCB"/>
            </w:tcBorders>
            <w:shd w:val="clear" w:color="auto" w:fill="1B0088"/>
          </w:tcPr>
          <w:p>
            <w:pPr>
              <w:ind w:left="480"/>
              <w:spacing w:after="0"/>
              <w:rPr>
                <w:sz w:val="20"/>
                <w:szCs w:val="20"/>
                <w:color w:val="auto"/>
              </w:rPr>
            </w:pPr>
            <w:r>
              <w:rPr>
                <w:rFonts w:ascii="Arial" w:cs="Arial" w:eastAsia="Arial" w:hAnsi="Arial"/>
                <w:sz w:val="19"/>
                <w:szCs w:val="19"/>
                <w:b w:val="1"/>
                <w:bCs w:val="1"/>
                <w:color w:val="FFFFFF"/>
              </w:rPr>
              <w:t>Var.</w:t>
            </w:r>
          </w:p>
        </w:tc>
      </w:tr>
      <w:tr>
        <w:trPr>
          <w:trHeight w:val="243"/>
        </w:trPr>
        <w:tc>
          <w:tcPr>
            <w:tcW w:w="7180" w:type="dxa"/>
            <w:vAlign w:val="bottom"/>
            <w:tcBorders>
              <w:left w:val="single" w:sz="8" w:color="CACBCB"/>
              <w:bottom w:val="single" w:sz="8" w:color="CACBCB"/>
              <w:right w:val="single" w:sz="8" w:color="CACBCB"/>
            </w:tcBorders>
          </w:tcPr>
          <w:p>
            <w:pPr>
              <w:ind w:left="40"/>
              <w:spacing w:after="0"/>
              <w:rPr>
                <w:sz w:val="20"/>
                <w:szCs w:val="20"/>
                <w:color w:val="auto"/>
              </w:rPr>
            </w:pPr>
            <w:r>
              <w:rPr>
                <w:rFonts w:ascii="Arial" w:cs="Arial" w:eastAsia="Arial" w:hAnsi="Arial"/>
                <w:sz w:val="19"/>
                <w:szCs w:val="19"/>
                <w:color w:val="auto"/>
              </w:rPr>
              <w:t>Total Revenues (US$ million)</w:t>
            </w:r>
          </w:p>
        </w:tc>
        <w:tc>
          <w:tcPr>
            <w:tcW w:w="1320" w:type="dxa"/>
            <w:vAlign w:val="bottom"/>
            <w:tcBorders>
              <w:bottom w:val="single" w:sz="8" w:color="CACBCB"/>
              <w:right w:val="single" w:sz="8" w:color="CACBCB"/>
            </w:tcBorders>
          </w:tcPr>
          <w:p>
            <w:pPr>
              <w:jc w:val="center"/>
              <w:spacing w:after="0"/>
              <w:rPr>
                <w:sz w:val="20"/>
                <w:szCs w:val="20"/>
                <w:color w:val="auto"/>
              </w:rPr>
            </w:pPr>
            <w:r>
              <w:rPr>
                <w:rFonts w:ascii="Arial" w:cs="Arial" w:eastAsia="Arial" w:hAnsi="Arial"/>
                <w:sz w:val="19"/>
                <w:szCs w:val="19"/>
                <w:color w:val="auto"/>
                <w:w w:val="96"/>
              </w:rPr>
              <w:t>4,151</w:t>
            </w:r>
          </w:p>
        </w:tc>
        <w:tc>
          <w:tcPr>
            <w:tcW w:w="1320" w:type="dxa"/>
            <w:vAlign w:val="bottom"/>
            <w:tcBorders>
              <w:bottom w:val="single" w:sz="8" w:color="CACBCB"/>
              <w:right w:val="single" w:sz="8" w:color="CACBCB"/>
            </w:tcBorders>
          </w:tcPr>
          <w:p>
            <w:pPr>
              <w:jc w:val="center"/>
              <w:spacing w:after="0"/>
              <w:rPr>
                <w:sz w:val="20"/>
                <w:szCs w:val="20"/>
                <w:color w:val="auto"/>
              </w:rPr>
            </w:pPr>
            <w:r>
              <w:rPr>
                <w:rFonts w:ascii="Arial" w:cs="Arial" w:eastAsia="Arial" w:hAnsi="Arial"/>
                <w:sz w:val="19"/>
                <w:szCs w:val="19"/>
                <w:color w:val="auto"/>
                <w:w w:val="96"/>
              </w:rPr>
              <w:t>3,411</w:t>
            </w:r>
          </w:p>
        </w:tc>
        <w:tc>
          <w:tcPr>
            <w:tcW w:w="1340" w:type="dxa"/>
            <w:vAlign w:val="bottom"/>
            <w:tcBorders>
              <w:bottom w:val="single" w:sz="8" w:color="CACBCB"/>
              <w:right w:val="single" w:sz="8" w:color="CACBCB"/>
            </w:tcBorders>
          </w:tcPr>
          <w:p>
            <w:pPr>
              <w:jc w:val="center"/>
              <w:spacing w:after="0"/>
              <w:rPr>
                <w:sz w:val="20"/>
                <w:szCs w:val="20"/>
                <w:color w:val="auto"/>
              </w:rPr>
            </w:pPr>
            <w:r>
              <w:rPr>
                <w:rFonts w:ascii="Arial" w:cs="Arial" w:eastAsia="Arial" w:hAnsi="Arial"/>
                <w:sz w:val="19"/>
                <w:szCs w:val="19"/>
                <w:color w:val="auto"/>
                <w:w w:val="98"/>
              </w:rPr>
              <w:t>+21.7%</w:t>
            </w:r>
          </w:p>
        </w:tc>
      </w:tr>
      <w:tr>
        <w:trPr>
          <w:trHeight w:val="237"/>
        </w:trPr>
        <w:tc>
          <w:tcPr>
            <w:tcW w:w="7180" w:type="dxa"/>
            <w:vAlign w:val="bottom"/>
            <w:tcBorders>
              <w:left w:val="single" w:sz="8" w:color="CACBCB"/>
              <w:bottom w:val="single" w:sz="8" w:color="CACBCB"/>
              <w:right w:val="single" w:sz="8" w:color="CACBCB"/>
            </w:tcBorders>
          </w:tcPr>
          <w:p>
            <w:pPr>
              <w:ind w:left="40"/>
              <w:spacing w:after="0"/>
              <w:rPr>
                <w:sz w:val="20"/>
                <w:szCs w:val="20"/>
                <w:color w:val="auto"/>
              </w:rPr>
            </w:pPr>
            <w:r>
              <w:rPr>
                <w:rFonts w:ascii="Arial" w:cs="Arial" w:eastAsia="Arial" w:hAnsi="Arial"/>
                <w:sz w:val="19"/>
                <w:szCs w:val="19"/>
                <w:color w:val="auto"/>
              </w:rPr>
              <w:t>Adjusted EBITDA (US$ million)</w:t>
            </w:r>
          </w:p>
        </w:tc>
        <w:tc>
          <w:tcPr>
            <w:tcW w:w="1320" w:type="dxa"/>
            <w:vAlign w:val="bottom"/>
            <w:tcBorders>
              <w:bottom w:val="single" w:sz="8" w:color="CACBCB"/>
              <w:right w:val="single" w:sz="8" w:color="CACBCB"/>
            </w:tcBorders>
          </w:tcPr>
          <w:p>
            <w:pPr>
              <w:jc w:val="center"/>
              <w:spacing w:after="0"/>
              <w:rPr>
                <w:sz w:val="20"/>
                <w:szCs w:val="20"/>
                <w:color w:val="auto"/>
              </w:rPr>
            </w:pPr>
            <w:r>
              <w:rPr>
                <w:rFonts w:ascii="Arial" w:cs="Arial" w:eastAsia="Arial" w:hAnsi="Arial"/>
                <w:sz w:val="19"/>
                <w:szCs w:val="19"/>
                <w:color w:val="auto"/>
                <w:w w:val="96"/>
              </w:rPr>
              <w:t>1,315</w:t>
            </w:r>
          </w:p>
        </w:tc>
        <w:tc>
          <w:tcPr>
            <w:tcW w:w="1320" w:type="dxa"/>
            <w:vAlign w:val="bottom"/>
            <w:tcBorders>
              <w:bottom w:val="single" w:sz="8" w:color="CACBCB"/>
              <w:right w:val="single" w:sz="8" w:color="CACBCB"/>
            </w:tcBorders>
          </w:tcPr>
          <w:p>
            <w:pPr>
              <w:jc w:val="center"/>
              <w:spacing w:after="0"/>
              <w:rPr>
                <w:sz w:val="20"/>
                <w:szCs w:val="20"/>
                <w:color w:val="auto"/>
              </w:rPr>
            </w:pPr>
            <w:r>
              <w:rPr>
                <w:rFonts w:ascii="Arial" w:cs="Arial" w:eastAsia="Arial" w:hAnsi="Arial"/>
                <w:sz w:val="19"/>
                <w:szCs w:val="19"/>
                <w:color w:val="auto"/>
              </w:rPr>
              <w:t>962</w:t>
            </w:r>
          </w:p>
        </w:tc>
        <w:tc>
          <w:tcPr>
            <w:tcW w:w="1340" w:type="dxa"/>
            <w:vAlign w:val="bottom"/>
            <w:tcBorders>
              <w:bottom w:val="single" w:sz="8" w:color="CACBCB"/>
              <w:right w:val="single" w:sz="8" w:color="CACBCB"/>
            </w:tcBorders>
          </w:tcPr>
          <w:p>
            <w:pPr>
              <w:jc w:val="center"/>
              <w:spacing w:after="0"/>
              <w:rPr>
                <w:sz w:val="20"/>
                <w:szCs w:val="20"/>
                <w:color w:val="auto"/>
              </w:rPr>
            </w:pPr>
            <w:r>
              <w:rPr>
                <w:rFonts w:ascii="Arial" w:cs="Arial" w:eastAsia="Arial" w:hAnsi="Arial"/>
                <w:sz w:val="19"/>
                <w:szCs w:val="19"/>
                <w:color w:val="auto"/>
                <w:w w:val="98"/>
              </w:rPr>
              <w:t>+36.7%</w:t>
            </w:r>
          </w:p>
        </w:tc>
      </w:tr>
      <w:tr>
        <w:trPr>
          <w:trHeight w:val="236"/>
        </w:trPr>
        <w:tc>
          <w:tcPr>
            <w:tcW w:w="7180" w:type="dxa"/>
            <w:vAlign w:val="bottom"/>
            <w:tcBorders>
              <w:left w:val="single" w:sz="8" w:color="CACBCB"/>
              <w:bottom w:val="single" w:sz="8" w:color="CACBCB"/>
              <w:right w:val="single" w:sz="8" w:color="CACBCB"/>
            </w:tcBorders>
          </w:tcPr>
          <w:p>
            <w:pPr>
              <w:ind w:left="40"/>
              <w:spacing w:after="0"/>
              <w:rPr>
                <w:sz w:val="20"/>
                <w:szCs w:val="20"/>
                <w:color w:val="auto"/>
              </w:rPr>
            </w:pPr>
            <w:r>
              <w:rPr>
                <w:rFonts w:ascii="Arial" w:cs="Arial" w:eastAsia="Arial" w:hAnsi="Arial"/>
                <w:sz w:val="19"/>
                <w:szCs w:val="19"/>
                <w:color w:val="auto"/>
              </w:rPr>
              <w:t>Adjusted EBITDA Margin</w:t>
            </w:r>
          </w:p>
        </w:tc>
        <w:tc>
          <w:tcPr>
            <w:tcW w:w="1320" w:type="dxa"/>
            <w:vAlign w:val="bottom"/>
            <w:tcBorders>
              <w:bottom w:val="single" w:sz="8" w:color="CACBCB"/>
              <w:right w:val="single" w:sz="8" w:color="CACBCB"/>
            </w:tcBorders>
          </w:tcPr>
          <w:p>
            <w:pPr>
              <w:jc w:val="center"/>
              <w:spacing w:after="0"/>
              <w:rPr>
                <w:sz w:val="20"/>
                <w:szCs w:val="20"/>
                <w:color w:val="auto"/>
              </w:rPr>
            </w:pPr>
            <w:r>
              <w:rPr>
                <w:rFonts w:ascii="Arial" w:cs="Arial" w:eastAsia="Arial" w:hAnsi="Arial"/>
                <w:sz w:val="19"/>
                <w:szCs w:val="19"/>
                <w:color w:val="auto"/>
              </w:rPr>
              <w:t>31.7%</w:t>
            </w:r>
          </w:p>
        </w:tc>
        <w:tc>
          <w:tcPr>
            <w:tcW w:w="1320" w:type="dxa"/>
            <w:vAlign w:val="bottom"/>
            <w:tcBorders>
              <w:bottom w:val="single" w:sz="8" w:color="CACBCB"/>
              <w:right w:val="single" w:sz="8" w:color="CACBCB"/>
            </w:tcBorders>
          </w:tcPr>
          <w:p>
            <w:pPr>
              <w:jc w:val="center"/>
              <w:spacing w:after="0"/>
              <w:rPr>
                <w:sz w:val="20"/>
                <w:szCs w:val="20"/>
                <w:color w:val="auto"/>
              </w:rPr>
            </w:pPr>
            <w:r>
              <w:rPr>
                <w:rFonts w:ascii="Arial" w:cs="Arial" w:eastAsia="Arial" w:hAnsi="Arial"/>
                <w:sz w:val="19"/>
                <w:szCs w:val="19"/>
                <w:color w:val="auto"/>
              </w:rPr>
              <w:t>28.2%</w:t>
            </w:r>
          </w:p>
        </w:tc>
        <w:tc>
          <w:tcPr>
            <w:tcW w:w="1340" w:type="dxa"/>
            <w:vAlign w:val="bottom"/>
            <w:tcBorders>
              <w:bottom w:val="single" w:sz="8" w:color="CACBCB"/>
              <w:right w:val="single" w:sz="8" w:color="CACBCB"/>
            </w:tcBorders>
          </w:tcPr>
          <w:p>
            <w:pPr>
              <w:jc w:val="center"/>
              <w:spacing w:after="0"/>
              <w:rPr>
                <w:sz w:val="20"/>
                <w:szCs w:val="20"/>
                <w:color w:val="auto"/>
              </w:rPr>
            </w:pPr>
            <w:r>
              <w:rPr>
                <w:rFonts w:ascii="Arial" w:cs="Arial" w:eastAsia="Arial" w:hAnsi="Arial"/>
                <w:sz w:val="19"/>
                <w:szCs w:val="19"/>
                <w:color w:val="auto"/>
                <w:w w:val="98"/>
              </w:rPr>
              <w:t>+3.5pp</w:t>
            </w:r>
          </w:p>
        </w:tc>
      </w:tr>
      <w:tr>
        <w:trPr>
          <w:trHeight w:val="237"/>
        </w:trPr>
        <w:tc>
          <w:tcPr>
            <w:tcW w:w="7180" w:type="dxa"/>
            <w:vAlign w:val="bottom"/>
            <w:tcBorders>
              <w:left w:val="single" w:sz="8" w:color="CACBCB"/>
              <w:bottom w:val="single" w:sz="8" w:color="CACBCB"/>
              <w:right w:val="single" w:sz="8" w:color="CACBCB"/>
            </w:tcBorders>
          </w:tcPr>
          <w:p>
            <w:pPr>
              <w:ind w:left="40"/>
              <w:spacing w:after="0"/>
              <w:rPr>
                <w:sz w:val="20"/>
                <w:szCs w:val="20"/>
                <w:color w:val="auto"/>
              </w:rPr>
            </w:pPr>
            <w:r>
              <w:rPr>
                <w:rFonts w:ascii="Arial" w:cs="Arial" w:eastAsia="Arial" w:hAnsi="Arial"/>
                <w:sz w:val="19"/>
                <w:szCs w:val="19"/>
                <w:color w:val="auto"/>
              </w:rPr>
              <w:t>Adjusted Operating Income (US$ million)</w:t>
            </w:r>
          </w:p>
        </w:tc>
        <w:tc>
          <w:tcPr>
            <w:tcW w:w="1320" w:type="dxa"/>
            <w:vAlign w:val="bottom"/>
            <w:tcBorders>
              <w:bottom w:val="single" w:sz="8" w:color="CACBCB"/>
              <w:right w:val="single" w:sz="8" w:color="CACBCB"/>
            </w:tcBorders>
          </w:tcPr>
          <w:p>
            <w:pPr>
              <w:jc w:val="center"/>
              <w:spacing w:after="0"/>
              <w:rPr>
                <w:sz w:val="20"/>
                <w:szCs w:val="20"/>
                <w:color w:val="auto"/>
              </w:rPr>
            </w:pPr>
            <w:r>
              <w:rPr>
                <w:rFonts w:ascii="Arial" w:cs="Arial" w:eastAsia="Arial" w:hAnsi="Arial"/>
                <w:sz w:val="19"/>
                <w:szCs w:val="19"/>
                <w:color w:val="auto"/>
                <w:w w:val="94"/>
              </w:rPr>
              <w:t>823</w:t>
            </w:r>
          </w:p>
        </w:tc>
        <w:tc>
          <w:tcPr>
            <w:tcW w:w="1320" w:type="dxa"/>
            <w:vAlign w:val="bottom"/>
            <w:tcBorders>
              <w:bottom w:val="single" w:sz="8" w:color="CACBCB"/>
              <w:right w:val="single" w:sz="8" w:color="CACBCB"/>
            </w:tcBorders>
          </w:tcPr>
          <w:p>
            <w:pPr>
              <w:jc w:val="center"/>
              <w:spacing w:after="0"/>
              <w:rPr>
                <w:sz w:val="20"/>
                <w:szCs w:val="20"/>
                <w:color w:val="auto"/>
              </w:rPr>
            </w:pPr>
            <w:r>
              <w:rPr>
                <w:rFonts w:ascii="Arial" w:cs="Arial" w:eastAsia="Arial" w:hAnsi="Arial"/>
                <w:sz w:val="19"/>
                <w:szCs w:val="19"/>
                <w:color w:val="auto"/>
              </w:rPr>
              <w:t>573</w:t>
            </w:r>
          </w:p>
        </w:tc>
        <w:tc>
          <w:tcPr>
            <w:tcW w:w="1340" w:type="dxa"/>
            <w:vAlign w:val="bottom"/>
            <w:tcBorders>
              <w:bottom w:val="single" w:sz="8" w:color="CACBCB"/>
              <w:right w:val="single" w:sz="8" w:color="CACBCB"/>
            </w:tcBorders>
          </w:tcPr>
          <w:p>
            <w:pPr>
              <w:jc w:val="center"/>
              <w:spacing w:after="0"/>
              <w:rPr>
                <w:sz w:val="20"/>
                <w:szCs w:val="20"/>
                <w:color w:val="auto"/>
              </w:rPr>
            </w:pPr>
            <w:r>
              <w:rPr>
                <w:rFonts w:ascii="Arial" w:cs="Arial" w:eastAsia="Arial" w:hAnsi="Arial"/>
                <w:sz w:val="19"/>
                <w:szCs w:val="19"/>
                <w:color w:val="auto"/>
                <w:w w:val="98"/>
              </w:rPr>
              <w:t>+43.5%</w:t>
            </w:r>
          </w:p>
        </w:tc>
      </w:tr>
      <w:tr>
        <w:trPr>
          <w:trHeight w:val="237"/>
        </w:trPr>
        <w:tc>
          <w:tcPr>
            <w:tcW w:w="7180" w:type="dxa"/>
            <w:vAlign w:val="bottom"/>
            <w:tcBorders>
              <w:left w:val="single" w:sz="8" w:color="CACBCB"/>
              <w:bottom w:val="single" w:sz="8" w:color="CACBCB"/>
              <w:right w:val="single" w:sz="8" w:color="CACBCB"/>
            </w:tcBorders>
          </w:tcPr>
          <w:p>
            <w:pPr>
              <w:ind w:left="40"/>
              <w:spacing w:after="0"/>
              <w:rPr>
                <w:sz w:val="20"/>
                <w:szCs w:val="20"/>
                <w:color w:val="auto"/>
              </w:rPr>
            </w:pPr>
            <w:r>
              <w:rPr>
                <w:rFonts w:ascii="Arial" w:cs="Arial" w:eastAsia="Arial" w:hAnsi="Arial"/>
                <w:sz w:val="19"/>
                <w:szCs w:val="19"/>
                <w:color w:val="auto"/>
              </w:rPr>
              <w:t>Adjusted Operating Margin</w:t>
            </w:r>
          </w:p>
        </w:tc>
        <w:tc>
          <w:tcPr>
            <w:tcW w:w="1320" w:type="dxa"/>
            <w:vAlign w:val="bottom"/>
            <w:tcBorders>
              <w:bottom w:val="single" w:sz="8" w:color="CACBCB"/>
              <w:right w:val="single" w:sz="8" w:color="CACBCB"/>
            </w:tcBorders>
          </w:tcPr>
          <w:p>
            <w:pPr>
              <w:jc w:val="center"/>
              <w:spacing w:after="0"/>
              <w:rPr>
                <w:sz w:val="20"/>
                <w:szCs w:val="20"/>
                <w:color w:val="auto"/>
              </w:rPr>
            </w:pPr>
            <w:r>
              <w:rPr>
                <w:rFonts w:ascii="Arial" w:cs="Arial" w:eastAsia="Arial" w:hAnsi="Arial"/>
                <w:sz w:val="19"/>
                <w:szCs w:val="19"/>
                <w:color w:val="auto"/>
              </w:rPr>
              <w:t>19.8%</w:t>
            </w:r>
          </w:p>
        </w:tc>
        <w:tc>
          <w:tcPr>
            <w:tcW w:w="1320" w:type="dxa"/>
            <w:vAlign w:val="bottom"/>
            <w:tcBorders>
              <w:bottom w:val="single" w:sz="8" w:color="CACBCB"/>
              <w:right w:val="single" w:sz="8" w:color="CACBCB"/>
            </w:tcBorders>
          </w:tcPr>
          <w:p>
            <w:pPr>
              <w:jc w:val="center"/>
              <w:spacing w:after="0"/>
              <w:rPr>
                <w:sz w:val="20"/>
                <w:szCs w:val="20"/>
                <w:color w:val="auto"/>
              </w:rPr>
            </w:pPr>
            <w:r>
              <w:rPr>
                <w:rFonts w:ascii="Arial" w:cs="Arial" w:eastAsia="Arial" w:hAnsi="Arial"/>
                <w:sz w:val="19"/>
                <w:szCs w:val="19"/>
                <w:color w:val="auto"/>
              </w:rPr>
              <w:t>16.8%</w:t>
            </w:r>
          </w:p>
        </w:tc>
        <w:tc>
          <w:tcPr>
            <w:tcW w:w="1340" w:type="dxa"/>
            <w:vAlign w:val="bottom"/>
            <w:tcBorders>
              <w:bottom w:val="single" w:sz="8" w:color="CACBCB"/>
              <w:right w:val="single" w:sz="8" w:color="CACBCB"/>
            </w:tcBorders>
          </w:tcPr>
          <w:p>
            <w:pPr>
              <w:jc w:val="center"/>
              <w:spacing w:after="0"/>
              <w:rPr>
                <w:sz w:val="20"/>
                <w:szCs w:val="20"/>
                <w:color w:val="auto"/>
              </w:rPr>
            </w:pPr>
            <w:r>
              <w:rPr>
                <w:rFonts w:ascii="Arial" w:cs="Arial" w:eastAsia="Arial" w:hAnsi="Arial"/>
                <w:sz w:val="19"/>
                <w:szCs w:val="19"/>
                <w:color w:val="auto"/>
                <w:w w:val="98"/>
              </w:rPr>
              <w:t>+3.0pp</w:t>
            </w:r>
          </w:p>
        </w:tc>
      </w:tr>
      <w:tr>
        <w:trPr>
          <w:trHeight w:val="236"/>
        </w:trPr>
        <w:tc>
          <w:tcPr>
            <w:tcW w:w="7180" w:type="dxa"/>
            <w:vAlign w:val="bottom"/>
            <w:tcBorders>
              <w:left w:val="single" w:sz="8" w:color="CACBCB"/>
              <w:bottom w:val="single" w:sz="8" w:color="CACBCB"/>
              <w:right w:val="single" w:sz="8" w:color="CACBCB"/>
            </w:tcBorders>
          </w:tcPr>
          <w:p>
            <w:pPr>
              <w:ind w:left="40"/>
              <w:spacing w:after="0"/>
              <w:rPr>
                <w:sz w:val="20"/>
                <w:szCs w:val="20"/>
                <w:color w:val="auto"/>
              </w:rPr>
            </w:pPr>
            <w:r>
              <w:rPr>
                <w:rFonts w:ascii="Arial" w:cs="Arial" w:eastAsia="Arial" w:hAnsi="Arial"/>
                <w:sz w:val="19"/>
                <w:szCs w:val="19"/>
                <w:color w:val="auto"/>
              </w:rPr>
              <w:t>Net Income attributable to owners of the parent company (US$ million)</w:t>
            </w:r>
          </w:p>
        </w:tc>
        <w:tc>
          <w:tcPr>
            <w:tcW w:w="1320" w:type="dxa"/>
            <w:vAlign w:val="bottom"/>
            <w:tcBorders>
              <w:bottom w:val="single" w:sz="8" w:color="CACBCB"/>
              <w:right w:val="single" w:sz="8" w:color="CACBCB"/>
            </w:tcBorders>
          </w:tcPr>
          <w:p>
            <w:pPr>
              <w:jc w:val="center"/>
              <w:spacing w:after="0"/>
              <w:rPr>
                <w:sz w:val="20"/>
                <w:szCs w:val="20"/>
                <w:color w:val="auto"/>
              </w:rPr>
            </w:pPr>
            <w:r>
              <w:rPr>
                <w:rFonts w:ascii="Arial" w:cs="Arial" w:eastAsia="Arial" w:hAnsi="Arial"/>
                <w:sz w:val="19"/>
                <w:szCs w:val="19"/>
                <w:color w:val="auto"/>
                <w:w w:val="94"/>
              </w:rPr>
              <w:t>576</w:t>
            </w:r>
          </w:p>
        </w:tc>
        <w:tc>
          <w:tcPr>
            <w:tcW w:w="1320" w:type="dxa"/>
            <w:vAlign w:val="bottom"/>
            <w:tcBorders>
              <w:bottom w:val="single" w:sz="8" w:color="CACBCB"/>
              <w:right w:val="single" w:sz="8" w:color="CACBCB"/>
            </w:tcBorders>
          </w:tcPr>
          <w:p>
            <w:pPr>
              <w:jc w:val="center"/>
              <w:spacing w:after="0"/>
              <w:rPr>
                <w:sz w:val="20"/>
                <w:szCs w:val="20"/>
                <w:color w:val="auto"/>
              </w:rPr>
            </w:pPr>
            <w:r>
              <w:rPr>
                <w:rFonts w:ascii="Arial" w:cs="Arial" w:eastAsia="Arial" w:hAnsi="Arial"/>
                <w:sz w:val="19"/>
                <w:szCs w:val="19"/>
                <w:color w:val="auto"/>
              </w:rPr>
              <w:t>355</w:t>
            </w:r>
          </w:p>
        </w:tc>
        <w:tc>
          <w:tcPr>
            <w:tcW w:w="1340" w:type="dxa"/>
            <w:vAlign w:val="bottom"/>
            <w:tcBorders>
              <w:bottom w:val="single" w:sz="8" w:color="CACBCB"/>
              <w:right w:val="single" w:sz="8" w:color="CACBCB"/>
            </w:tcBorders>
          </w:tcPr>
          <w:p>
            <w:pPr>
              <w:jc w:val="center"/>
              <w:spacing w:after="0"/>
              <w:rPr>
                <w:sz w:val="20"/>
                <w:szCs w:val="20"/>
                <w:color w:val="auto"/>
              </w:rPr>
            </w:pPr>
            <w:r>
              <w:rPr>
                <w:rFonts w:ascii="Arial" w:cs="Arial" w:eastAsia="Arial" w:hAnsi="Arial"/>
                <w:sz w:val="19"/>
                <w:szCs w:val="19"/>
                <w:color w:val="auto"/>
                <w:w w:val="98"/>
              </w:rPr>
              <w:t>+62.1%</w:t>
            </w:r>
          </w:p>
        </w:tc>
      </w:tr>
      <w:tr>
        <w:trPr>
          <w:trHeight w:val="237"/>
        </w:trPr>
        <w:tc>
          <w:tcPr>
            <w:tcW w:w="7180" w:type="dxa"/>
            <w:vAlign w:val="bottom"/>
            <w:tcBorders>
              <w:left w:val="single" w:sz="8" w:color="CACBCB"/>
              <w:bottom w:val="single" w:sz="8" w:color="CACBCB"/>
              <w:right w:val="single" w:sz="8" w:color="CACBCB"/>
            </w:tcBorders>
          </w:tcPr>
          <w:p>
            <w:pPr>
              <w:ind w:left="40"/>
              <w:spacing w:after="0"/>
              <w:rPr>
                <w:sz w:val="20"/>
                <w:szCs w:val="20"/>
                <w:color w:val="auto"/>
              </w:rPr>
            </w:pPr>
            <w:r>
              <w:rPr>
                <w:rFonts w:ascii="Arial" w:cs="Arial" w:eastAsia="Arial" w:hAnsi="Arial"/>
                <w:sz w:val="19"/>
                <w:szCs w:val="19"/>
                <w:color w:val="auto"/>
              </w:rPr>
              <w:t>Net Income Margin</w:t>
            </w:r>
          </w:p>
        </w:tc>
        <w:tc>
          <w:tcPr>
            <w:tcW w:w="1320" w:type="dxa"/>
            <w:vAlign w:val="bottom"/>
            <w:tcBorders>
              <w:bottom w:val="single" w:sz="8" w:color="CACBCB"/>
              <w:right w:val="single" w:sz="8" w:color="CACBCB"/>
            </w:tcBorders>
          </w:tcPr>
          <w:p>
            <w:pPr>
              <w:jc w:val="center"/>
              <w:spacing w:after="0"/>
              <w:rPr>
                <w:sz w:val="20"/>
                <w:szCs w:val="20"/>
                <w:color w:val="auto"/>
              </w:rPr>
            </w:pPr>
            <w:r>
              <w:rPr>
                <w:rFonts w:ascii="Arial" w:cs="Arial" w:eastAsia="Arial" w:hAnsi="Arial"/>
                <w:sz w:val="19"/>
                <w:szCs w:val="19"/>
                <w:color w:val="auto"/>
              </w:rPr>
              <w:t>13.9%</w:t>
            </w:r>
          </w:p>
        </w:tc>
        <w:tc>
          <w:tcPr>
            <w:tcW w:w="1320" w:type="dxa"/>
            <w:vAlign w:val="bottom"/>
            <w:tcBorders>
              <w:bottom w:val="single" w:sz="8" w:color="CACBCB"/>
              <w:right w:val="single" w:sz="8" w:color="CACBCB"/>
            </w:tcBorders>
          </w:tcPr>
          <w:p>
            <w:pPr>
              <w:jc w:val="center"/>
              <w:spacing w:after="0"/>
              <w:rPr>
                <w:sz w:val="20"/>
                <w:szCs w:val="20"/>
                <w:color w:val="auto"/>
              </w:rPr>
            </w:pPr>
            <w:r>
              <w:rPr>
                <w:rFonts w:ascii="Arial" w:cs="Arial" w:eastAsia="Arial" w:hAnsi="Arial"/>
                <w:sz w:val="19"/>
                <w:szCs w:val="19"/>
                <w:color w:val="auto"/>
              </w:rPr>
              <w:t>10.4%</w:t>
            </w:r>
          </w:p>
        </w:tc>
        <w:tc>
          <w:tcPr>
            <w:tcW w:w="1340" w:type="dxa"/>
            <w:vAlign w:val="bottom"/>
            <w:tcBorders>
              <w:bottom w:val="single" w:sz="8" w:color="CACBCB"/>
              <w:right w:val="single" w:sz="8" w:color="CACBCB"/>
            </w:tcBorders>
          </w:tcPr>
          <w:p>
            <w:pPr>
              <w:jc w:val="center"/>
              <w:spacing w:after="0"/>
              <w:rPr>
                <w:sz w:val="20"/>
                <w:szCs w:val="20"/>
                <w:color w:val="auto"/>
              </w:rPr>
            </w:pPr>
            <w:r>
              <w:rPr>
                <w:rFonts w:ascii="Arial" w:cs="Arial" w:eastAsia="Arial" w:hAnsi="Arial"/>
                <w:sz w:val="19"/>
                <w:szCs w:val="19"/>
                <w:color w:val="auto"/>
                <w:w w:val="98"/>
              </w:rPr>
              <w:t>+3.5pp</w:t>
            </w:r>
          </w:p>
        </w:tc>
      </w:tr>
      <w:tr>
        <w:trPr>
          <w:trHeight w:val="237"/>
        </w:trPr>
        <w:tc>
          <w:tcPr>
            <w:tcW w:w="7180" w:type="dxa"/>
            <w:vAlign w:val="bottom"/>
            <w:tcBorders>
              <w:left w:val="single" w:sz="8" w:color="CACBCB"/>
              <w:bottom w:val="single" w:sz="8" w:color="CACBCB"/>
              <w:right w:val="single" w:sz="8" w:color="CACBCB"/>
            </w:tcBorders>
          </w:tcPr>
          <w:p>
            <w:pPr>
              <w:ind w:left="40"/>
              <w:spacing w:after="0"/>
              <w:rPr>
                <w:sz w:val="20"/>
                <w:szCs w:val="20"/>
                <w:color w:val="auto"/>
              </w:rPr>
            </w:pPr>
            <w:r>
              <w:rPr>
                <w:rFonts w:ascii="Arial" w:cs="Arial" w:eastAsia="Arial" w:hAnsi="Arial"/>
                <w:sz w:val="19"/>
                <w:szCs w:val="19"/>
                <w:color w:val="auto"/>
              </w:rPr>
              <w:t>Diluted Earnings per ADS (US$)</w:t>
            </w:r>
          </w:p>
        </w:tc>
        <w:tc>
          <w:tcPr>
            <w:tcW w:w="1320" w:type="dxa"/>
            <w:vAlign w:val="bottom"/>
            <w:tcBorders>
              <w:bottom w:val="single" w:sz="8" w:color="CACBCB"/>
              <w:right w:val="single" w:sz="8" w:color="CACBCB"/>
            </w:tcBorders>
          </w:tcPr>
          <w:p>
            <w:pPr>
              <w:jc w:val="center"/>
              <w:spacing w:after="0"/>
              <w:rPr>
                <w:sz w:val="20"/>
                <w:szCs w:val="20"/>
                <w:color w:val="auto"/>
              </w:rPr>
            </w:pPr>
            <w:r>
              <w:rPr>
                <w:rFonts w:ascii="Arial" w:cs="Arial" w:eastAsia="Arial" w:hAnsi="Arial"/>
                <w:sz w:val="19"/>
                <w:szCs w:val="19"/>
                <w:color w:val="auto"/>
              </w:rPr>
              <w:t>2.01</w:t>
            </w:r>
          </w:p>
        </w:tc>
        <w:tc>
          <w:tcPr>
            <w:tcW w:w="1320" w:type="dxa"/>
            <w:vAlign w:val="bottom"/>
            <w:tcBorders>
              <w:bottom w:val="single" w:sz="8" w:color="CACBCB"/>
              <w:right w:val="single" w:sz="8" w:color="CACBCB"/>
            </w:tcBorders>
          </w:tcPr>
          <w:p>
            <w:pPr>
              <w:jc w:val="center"/>
              <w:spacing w:after="0"/>
              <w:rPr>
                <w:sz w:val="20"/>
                <w:szCs w:val="20"/>
                <w:color w:val="auto"/>
              </w:rPr>
            </w:pPr>
            <w:r>
              <w:rPr>
                <w:rFonts w:ascii="Arial" w:cs="Arial" w:eastAsia="Arial" w:hAnsi="Arial"/>
                <w:sz w:val="19"/>
                <w:szCs w:val="19"/>
                <w:color w:val="auto"/>
                <w:w w:val="97"/>
              </w:rPr>
              <w:t>1.18</w:t>
            </w:r>
          </w:p>
        </w:tc>
        <w:tc>
          <w:tcPr>
            <w:tcW w:w="1340" w:type="dxa"/>
            <w:vAlign w:val="bottom"/>
            <w:tcBorders>
              <w:bottom w:val="single" w:sz="8" w:color="CACBCB"/>
              <w:right w:val="single" w:sz="8" w:color="CACBCB"/>
            </w:tcBorders>
          </w:tcPr>
          <w:p>
            <w:pPr>
              <w:jc w:val="center"/>
              <w:spacing w:after="0"/>
              <w:rPr>
                <w:sz w:val="20"/>
                <w:szCs w:val="20"/>
                <w:color w:val="auto"/>
              </w:rPr>
            </w:pPr>
            <w:r>
              <w:rPr>
                <w:rFonts w:ascii="Arial" w:cs="Arial" w:eastAsia="Arial" w:hAnsi="Arial"/>
                <w:sz w:val="19"/>
                <w:szCs w:val="19"/>
                <w:color w:val="auto"/>
                <w:w w:val="98"/>
              </w:rPr>
              <w:t>+70.7%</w:t>
            </w:r>
          </w:p>
        </w:tc>
      </w:tr>
      <w:tr>
        <w:trPr>
          <w:trHeight w:val="236"/>
        </w:trPr>
        <w:tc>
          <w:tcPr>
            <w:tcW w:w="7180" w:type="dxa"/>
            <w:vAlign w:val="bottom"/>
            <w:tcBorders>
              <w:left w:val="single" w:sz="8" w:color="CACBCB"/>
              <w:bottom w:val="single" w:sz="8" w:color="CACBCB"/>
              <w:right w:val="single" w:sz="8" w:color="CACBCB"/>
            </w:tcBorders>
          </w:tcPr>
          <w:p>
            <w:pPr>
              <w:ind w:left="40"/>
              <w:spacing w:after="0"/>
              <w:rPr>
                <w:sz w:val="20"/>
                <w:szCs w:val="20"/>
                <w:color w:val="auto"/>
              </w:rPr>
            </w:pPr>
            <w:r>
              <w:rPr>
                <w:rFonts w:ascii="Arial" w:cs="Arial" w:eastAsia="Arial" w:hAnsi="Arial"/>
                <w:sz w:val="19"/>
                <w:szCs w:val="19"/>
                <w:color w:val="auto"/>
              </w:rPr>
              <w:t>Passenger RASK (US$ cents)</w:t>
            </w:r>
          </w:p>
        </w:tc>
        <w:tc>
          <w:tcPr>
            <w:tcW w:w="1320" w:type="dxa"/>
            <w:vAlign w:val="bottom"/>
            <w:tcBorders>
              <w:bottom w:val="single" w:sz="8" w:color="CACBCB"/>
              <w:right w:val="single" w:sz="8" w:color="CACBCB"/>
            </w:tcBorders>
          </w:tcPr>
          <w:p>
            <w:pPr>
              <w:jc w:val="center"/>
              <w:spacing w:after="0"/>
              <w:rPr>
                <w:sz w:val="20"/>
                <w:szCs w:val="20"/>
                <w:color w:val="auto"/>
              </w:rPr>
            </w:pPr>
            <w:r>
              <w:rPr>
                <w:rFonts w:ascii="Arial" w:cs="Arial" w:eastAsia="Arial" w:hAnsi="Arial"/>
                <w:sz w:val="19"/>
                <w:szCs w:val="19"/>
                <w:color w:val="auto"/>
                <w:w w:val="98"/>
              </w:rPr>
              <w:t>8.0</w:t>
            </w:r>
          </w:p>
        </w:tc>
        <w:tc>
          <w:tcPr>
            <w:tcW w:w="1320" w:type="dxa"/>
            <w:vAlign w:val="bottom"/>
            <w:tcBorders>
              <w:bottom w:val="single" w:sz="8" w:color="CACBCB"/>
              <w:right w:val="single" w:sz="8" w:color="CACBCB"/>
            </w:tcBorders>
          </w:tcPr>
          <w:p>
            <w:pPr>
              <w:jc w:val="center"/>
              <w:spacing w:after="0"/>
              <w:rPr>
                <w:sz w:val="20"/>
                <w:szCs w:val="20"/>
                <w:color w:val="auto"/>
              </w:rPr>
            </w:pPr>
            <w:r>
              <w:rPr>
                <w:rFonts w:ascii="Arial" w:cs="Arial" w:eastAsia="Arial" w:hAnsi="Arial"/>
                <w:sz w:val="19"/>
                <w:szCs w:val="19"/>
                <w:color w:val="auto"/>
                <w:w w:val="98"/>
              </w:rPr>
              <w:t>7.1</w:t>
            </w:r>
          </w:p>
        </w:tc>
        <w:tc>
          <w:tcPr>
            <w:tcW w:w="1340" w:type="dxa"/>
            <w:vAlign w:val="bottom"/>
            <w:tcBorders>
              <w:bottom w:val="single" w:sz="8" w:color="CACBCB"/>
              <w:right w:val="single" w:sz="8" w:color="CACBCB"/>
            </w:tcBorders>
          </w:tcPr>
          <w:p>
            <w:pPr>
              <w:jc w:val="center"/>
              <w:spacing w:after="0"/>
              <w:rPr>
                <w:sz w:val="20"/>
                <w:szCs w:val="20"/>
                <w:color w:val="auto"/>
              </w:rPr>
            </w:pPr>
            <w:r>
              <w:rPr>
                <w:rFonts w:ascii="Arial" w:cs="Arial" w:eastAsia="Arial" w:hAnsi="Arial"/>
                <w:sz w:val="19"/>
                <w:szCs w:val="19"/>
                <w:color w:val="auto"/>
                <w:w w:val="98"/>
              </w:rPr>
              <w:t>+12.7%</w:t>
            </w:r>
          </w:p>
        </w:tc>
      </w:tr>
      <w:tr>
        <w:trPr>
          <w:trHeight w:val="237"/>
        </w:trPr>
        <w:tc>
          <w:tcPr>
            <w:tcW w:w="7180" w:type="dxa"/>
            <w:vAlign w:val="bottom"/>
            <w:tcBorders>
              <w:left w:val="single" w:sz="8" w:color="CACBCB"/>
              <w:right w:val="single" w:sz="8" w:color="CACBCB"/>
            </w:tcBorders>
          </w:tcPr>
          <w:p>
            <w:pPr>
              <w:ind w:left="40"/>
              <w:spacing w:after="0"/>
              <w:rPr>
                <w:sz w:val="20"/>
                <w:szCs w:val="20"/>
                <w:color w:val="auto"/>
              </w:rPr>
            </w:pPr>
            <w:r>
              <w:rPr>
                <w:rFonts w:ascii="Arial" w:cs="Arial" w:eastAsia="Arial" w:hAnsi="Arial"/>
                <w:sz w:val="19"/>
                <w:szCs w:val="19"/>
                <w:color w:val="auto"/>
              </w:rPr>
              <w:t>Adjusted Passenger CASK ex-fuel (US$ cents)</w:t>
            </w:r>
          </w:p>
        </w:tc>
        <w:tc>
          <w:tcPr>
            <w:tcW w:w="1320" w:type="dxa"/>
            <w:vAlign w:val="bottom"/>
            <w:tcBorders>
              <w:right w:val="single" w:sz="8" w:color="CACBCB"/>
            </w:tcBorders>
          </w:tcPr>
          <w:p>
            <w:pPr>
              <w:jc w:val="center"/>
              <w:spacing w:after="0"/>
              <w:rPr>
                <w:sz w:val="20"/>
                <w:szCs w:val="20"/>
                <w:color w:val="auto"/>
              </w:rPr>
            </w:pPr>
            <w:r>
              <w:rPr>
                <w:rFonts w:ascii="Arial" w:cs="Arial" w:eastAsia="Arial" w:hAnsi="Arial"/>
                <w:sz w:val="19"/>
                <w:szCs w:val="19"/>
                <w:color w:val="auto"/>
                <w:w w:val="98"/>
              </w:rPr>
              <w:t>4.5</w:t>
            </w:r>
          </w:p>
        </w:tc>
        <w:tc>
          <w:tcPr>
            <w:tcW w:w="1320" w:type="dxa"/>
            <w:vAlign w:val="bottom"/>
            <w:tcBorders>
              <w:right w:val="single" w:sz="8" w:color="CACBCB"/>
            </w:tcBorders>
          </w:tcPr>
          <w:p>
            <w:pPr>
              <w:jc w:val="center"/>
              <w:spacing w:after="0"/>
              <w:rPr>
                <w:sz w:val="20"/>
                <w:szCs w:val="20"/>
                <w:color w:val="auto"/>
              </w:rPr>
            </w:pPr>
            <w:r>
              <w:rPr>
                <w:rFonts w:ascii="Arial" w:cs="Arial" w:eastAsia="Arial" w:hAnsi="Arial"/>
                <w:sz w:val="19"/>
                <w:szCs w:val="19"/>
                <w:color w:val="auto"/>
                <w:w w:val="98"/>
              </w:rPr>
              <w:t>4.0</w:t>
            </w:r>
          </w:p>
        </w:tc>
        <w:tc>
          <w:tcPr>
            <w:tcW w:w="1340" w:type="dxa"/>
            <w:vAlign w:val="bottom"/>
            <w:tcBorders>
              <w:right w:val="single" w:sz="8" w:color="CACBCB"/>
            </w:tcBorders>
          </w:tcPr>
          <w:p>
            <w:pPr>
              <w:jc w:val="center"/>
              <w:spacing w:after="0"/>
              <w:rPr>
                <w:sz w:val="20"/>
                <w:szCs w:val="20"/>
                <w:color w:val="auto"/>
              </w:rPr>
            </w:pPr>
            <w:r>
              <w:rPr>
                <w:rFonts w:ascii="Arial" w:cs="Arial" w:eastAsia="Arial" w:hAnsi="Arial"/>
                <w:sz w:val="19"/>
                <w:szCs w:val="19"/>
                <w:color w:val="auto"/>
                <w:w w:val="98"/>
              </w:rPr>
              <w:t>+12.0%</w:t>
            </w:r>
          </w:p>
        </w:tc>
      </w:tr>
      <w:tr>
        <w:trPr>
          <w:trHeight w:val="270"/>
        </w:trPr>
        <w:tc>
          <w:tcPr>
            <w:tcW w:w="7180" w:type="dxa"/>
            <w:vAlign w:val="bottom"/>
            <w:tcBorders>
              <w:left w:val="single" w:sz="8" w:color="CACBCB"/>
              <w:right w:val="single" w:sz="8" w:color="CACBCB"/>
            </w:tcBorders>
            <w:shd w:val="clear" w:color="auto" w:fill="1B0088"/>
          </w:tcPr>
          <w:p>
            <w:pPr>
              <w:ind w:left="40"/>
              <w:spacing w:after="0"/>
              <w:rPr>
                <w:sz w:val="20"/>
                <w:szCs w:val="20"/>
                <w:color w:val="auto"/>
              </w:rPr>
            </w:pPr>
            <w:r>
              <w:rPr>
                <w:rFonts w:ascii="Arial" w:cs="Arial" w:eastAsia="Arial" w:hAnsi="Arial"/>
                <w:sz w:val="19"/>
                <w:szCs w:val="19"/>
                <w:b w:val="1"/>
                <w:bCs w:val="1"/>
                <w:color w:val="FFFFFF"/>
              </w:rPr>
              <w:t>Key Financial Results and Indicators</w:t>
            </w:r>
          </w:p>
        </w:tc>
        <w:tc>
          <w:tcPr>
            <w:tcW w:w="1320" w:type="dxa"/>
            <w:vAlign w:val="bottom"/>
            <w:tcBorders>
              <w:right w:val="single" w:sz="8" w:color="CACBCB"/>
            </w:tcBorders>
            <w:shd w:val="clear" w:color="auto" w:fill="1B0088"/>
          </w:tcPr>
          <w:p>
            <w:pPr>
              <w:jc w:val="center"/>
              <w:spacing w:after="0"/>
              <w:rPr>
                <w:sz w:val="20"/>
                <w:szCs w:val="20"/>
                <w:color w:val="auto"/>
              </w:rPr>
            </w:pPr>
            <w:r>
              <w:rPr>
                <w:rFonts w:ascii="Arial" w:cs="Arial" w:eastAsia="Arial" w:hAnsi="Arial"/>
                <w:sz w:val="19"/>
                <w:szCs w:val="19"/>
                <w:b w:val="1"/>
                <w:bCs w:val="1"/>
                <w:color w:val="FFFFFF"/>
                <w:w w:val="98"/>
              </w:rPr>
              <w:t>1Q26</w:t>
            </w:r>
          </w:p>
        </w:tc>
        <w:tc>
          <w:tcPr>
            <w:tcW w:w="1320" w:type="dxa"/>
            <w:vAlign w:val="bottom"/>
            <w:tcBorders>
              <w:right w:val="single" w:sz="8" w:color="CACBCB"/>
            </w:tcBorders>
            <w:shd w:val="clear" w:color="auto" w:fill="1B0088"/>
          </w:tcPr>
          <w:p>
            <w:pPr>
              <w:jc w:val="center"/>
              <w:spacing w:after="0"/>
              <w:rPr>
                <w:sz w:val="20"/>
                <w:szCs w:val="20"/>
                <w:color w:val="auto"/>
              </w:rPr>
            </w:pPr>
            <w:r>
              <w:rPr>
                <w:rFonts w:ascii="Arial" w:cs="Arial" w:eastAsia="Arial" w:hAnsi="Arial"/>
                <w:sz w:val="19"/>
                <w:szCs w:val="19"/>
                <w:b w:val="1"/>
                <w:bCs w:val="1"/>
                <w:color w:val="FFFFFF"/>
                <w:w w:val="98"/>
              </w:rPr>
              <w:t>4Q25</w:t>
            </w:r>
          </w:p>
        </w:tc>
        <w:tc>
          <w:tcPr>
            <w:tcW w:w="1340" w:type="dxa"/>
            <w:vAlign w:val="bottom"/>
            <w:tcBorders>
              <w:right w:val="single" w:sz="8" w:color="CACBCB"/>
            </w:tcBorders>
            <w:shd w:val="clear" w:color="auto" w:fill="1B0088"/>
          </w:tcPr>
          <w:p>
            <w:pPr>
              <w:ind w:left="480"/>
              <w:spacing w:after="0"/>
              <w:rPr>
                <w:sz w:val="20"/>
                <w:szCs w:val="20"/>
                <w:color w:val="auto"/>
              </w:rPr>
            </w:pPr>
            <w:r>
              <w:rPr>
                <w:rFonts w:ascii="Arial" w:cs="Arial" w:eastAsia="Arial" w:hAnsi="Arial"/>
                <w:sz w:val="19"/>
                <w:szCs w:val="19"/>
                <w:b w:val="1"/>
                <w:bCs w:val="1"/>
                <w:color w:val="FFFFFF"/>
              </w:rPr>
              <w:t>Var.</w:t>
            </w:r>
          </w:p>
        </w:tc>
      </w:tr>
      <w:tr>
        <w:trPr>
          <w:trHeight w:val="243"/>
        </w:trPr>
        <w:tc>
          <w:tcPr>
            <w:tcW w:w="7180" w:type="dxa"/>
            <w:vAlign w:val="bottom"/>
            <w:tcBorders>
              <w:left w:val="single" w:sz="8" w:color="929292"/>
              <w:bottom w:val="single" w:sz="8" w:color="929292"/>
              <w:right w:val="single" w:sz="8" w:color="929292"/>
            </w:tcBorders>
          </w:tcPr>
          <w:p>
            <w:pPr>
              <w:ind w:left="40"/>
              <w:spacing w:after="0" w:line="243" w:lineRule="exact"/>
              <w:rPr>
                <w:sz w:val="20"/>
                <w:szCs w:val="20"/>
                <w:color w:val="auto"/>
              </w:rPr>
            </w:pPr>
            <w:r>
              <w:rPr>
                <w:rFonts w:ascii="Arial" w:cs="Arial" w:eastAsia="Arial" w:hAnsi="Arial"/>
                <w:sz w:val="19"/>
                <w:szCs w:val="19"/>
                <w:color w:val="auto"/>
              </w:rPr>
              <w:t>Total liquidity</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(US$ million)</w:t>
            </w:r>
          </w:p>
        </w:tc>
        <w:tc>
          <w:tcPr>
            <w:tcW w:w="1320" w:type="dxa"/>
            <w:vAlign w:val="bottom"/>
            <w:tcBorders>
              <w:bottom w:val="single" w:sz="8" w:color="929292"/>
              <w:right w:val="single" w:sz="8" w:color="929292"/>
            </w:tcBorders>
          </w:tcPr>
          <w:p>
            <w:pPr>
              <w:jc w:val="center"/>
              <w:spacing w:after="0"/>
              <w:rPr>
                <w:sz w:val="20"/>
                <w:szCs w:val="20"/>
                <w:color w:val="auto"/>
              </w:rPr>
            </w:pPr>
            <w:r>
              <w:rPr>
                <w:rFonts w:ascii="Arial" w:cs="Arial" w:eastAsia="Arial" w:hAnsi="Arial"/>
                <w:sz w:val="19"/>
                <w:szCs w:val="19"/>
                <w:color w:val="auto"/>
                <w:w w:val="96"/>
              </w:rPr>
              <w:t>4,116</w:t>
            </w:r>
          </w:p>
        </w:tc>
        <w:tc>
          <w:tcPr>
            <w:tcW w:w="1320" w:type="dxa"/>
            <w:vAlign w:val="bottom"/>
            <w:tcBorders>
              <w:bottom w:val="single" w:sz="8" w:color="929292"/>
              <w:right w:val="single" w:sz="8" w:color="929292"/>
            </w:tcBorders>
          </w:tcPr>
          <w:p>
            <w:pPr>
              <w:jc w:val="center"/>
              <w:spacing w:after="0"/>
              <w:rPr>
                <w:sz w:val="20"/>
                <w:szCs w:val="20"/>
                <w:color w:val="auto"/>
              </w:rPr>
            </w:pPr>
            <w:r>
              <w:rPr>
                <w:rFonts w:ascii="Arial" w:cs="Arial" w:eastAsia="Arial" w:hAnsi="Arial"/>
                <w:sz w:val="19"/>
                <w:szCs w:val="19"/>
                <w:color w:val="auto"/>
              </w:rPr>
              <w:t>3,725</w:t>
            </w:r>
          </w:p>
        </w:tc>
        <w:tc>
          <w:tcPr>
            <w:tcW w:w="1340" w:type="dxa"/>
            <w:vAlign w:val="bottom"/>
            <w:tcBorders>
              <w:bottom w:val="single" w:sz="8" w:color="929292"/>
              <w:right w:val="single" w:sz="8" w:color="929292"/>
            </w:tcBorders>
          </w:tcPr>
          <w:p>
            <w:pPr>
              <w:jc w:val="center"/>
              <w:spacing w:after="0"/>
              <w:rPr>
                <w:sz w:val="20"/>
                <w:szCs w:val="20"/>
                <w:color w:val="auto"/>
              </w:rPr>
            </w:pPr>
            <w:r>
              <w:rPr>
                <w:rFonts w:ascii="Arial" w:cs="Arial" w:eastAsia="Arial" w:hAnsi="Arial"/>
                <w:sz w:val="19"/>
                <w:szCs w:val="19"/>
                <w:color w:val="auto"/>
                <w:w w:val="98"/>
              </w:rPr>
              <w:t>+10.5%</w:t>
            </w:r>
          </w:p>
        </w:tc>
      </w:tr>
      <w:tr>
        <w:trPr>
          <w:trHeight w:val="236"/>
        </w:trPr>
        <w:tc>
          <w:tcPr>
            <w:tcW w:w="7180" w:type="dxa"/>
            <w:vAlign w:val="bottom"/>
            <w:tcBorders>
              <w:left w:val="single" w:sz="8" w:color="929292"/>
              <w:bottom w:val="single" w:sz="8" w:color="929292"/>
              <w:right w:val="single" w:sz="8" w:color="929292"/>
            </w:tcBorders>
          </w:tcPr>
          <w:p>
            <w:pPr>
              <w:ind w:left="40"/>
              <w:spacing w:after="0"/>
              <w:rPr>
                <w:sz w:val="20"/>
                <w:szCs w:val="20"/>
                <w:color w:val="auto"/>
              </w:rPr>
            </w:pPr>
            <w:r>
              <w:rPr>
                <w:rFonts w:ascii="Arial" w:cs="Arial" w:eastAsia="Arial" w:hAnsi="Arial"/>
                <w:sz w:val="19"/>
                <w:szCs w:val="19"/>
                <w:color w:val="auto"/>
              </w:rPr>
              <w:t>Adj. Net Leverage (Net Debt / LTM Adj. EBITDA)</w:t>
            </w:r>
          </w:p>
        </w:tc>
        <w:tc>
          <w:tcPr>
            <w:tcW w:w="1320" w:type="dxa"/>
            <w:vAlign w:val="bottom"/>
            <w:tcBorders>
              <w:bottom w:val="single" w:sz="8" w:color="929292"/>
              <w:right w:val="single" w:sz="8" w:color="929292"/>
            </w:tcBorders>
          </w:tcPr>
          <w:p>
            <w:pPr>
              <w:jc w:val="center"/>
              <w:spacing w:after="0"/>
              <w:rPr>
                <w:sz w:val="20"/>
                <w:szCs w:val="20"/>
                <w:color w:val="auto"/>
              </w:rPr>
            </w:pPr>
            <w:r>
              <w:rPr>
                <w:rFonts w:ascii="Arial" w:cs="Arial" w:eastAsia="Arial" w:hAnsi="Arial"/>
                <w:sz w:val="19"/>
                <w:szCs w:val="19"/>
                <w:color w:val="auto"/>
                <w:w w:val="94"/>
              </w:rPr>
              <w:t>1.3x</w:t>
            </w:r>
          </w:p>
        </w:tc>
        <w:tc>
          <w:tcPr>
            <w:tcW w:w="1320" w:type="dxa"/>
            <w:vAlign w:val="bottom"/>
            <w:tcBorders>
              <w:bottom w:val="single" w:sz="8" w:color="929292"/>
              <w:right w:val="single" w:sz="8" w:color="929292"/>
            </w:tcBorders>
          </w:tcPr>
          <w:p>
            <w:pPr>
              <w:jc w:val="center"/>
              <w:spacing w:after="0"/>
              <w:rPr>
                <w:sz w:val="20"/>
                <w:szCs w:val="20"/>
                <w:color w:val="auto"/>
              </w:rPr>
            </w:pPr>
            <w:r>
              <w:rPr>
                <w:rFonts w:ascii="Arial" w:cs="Arial" w:eastAsia="Arial" w:hAnsi="Arial"/>
                <w:sz w:val="19"/>
                <w:szCs w:val="19"/>
                <w:color w:val="auto"/>
              </w:rPr>
              <w:t>1.5x</w:t>
            </w:r>
          </w:p>
        </w:tc>
        <w:tc>
          <w:tcPr>
            <w:tcW w:w="1340" w:type="dxa"/>
            <w:vAlign w:val="bottom"/>
            <w:tcBorders>
              <w:bottom w:val="single" w:sz="8" w:color="929292"/>
              <w:right w:val="single" w:sz="8" w:color="929292"/>
            </w:tcBorders>
          </w:tcPr>
          <w:p>
            <w:pPr>
              <w:jc w:val="center"/>
              <w:spacing w:after="0"/>
              <w:rPr>
                <w:sz w:val="20"/>
                <w:szCs w:val="20"/>
                <w:color w:val="auto"/>
              </w:rPr>
            </w:pPr>
            <w:r>
              <w:rPr>
                <w:rFonts w:ascii="Arial" w:cs="Arial" w:eastAsia="Arial" w:hAnsi="Arial"/>
                <w:sz w:val="19"/>
                <w:szCs w:val="19"/>
                <w:color w:val="auto"/>
                <w:w w:val="98"/>
              </w:rPr>
              <w:t>-0.13x</w:t>
            </w:r>
          </w:p>
        </w:tc>
      </w:tr>
    </w:tbl>
    <w:p>
      <w:pPr>
        <w:spacing w:after="0" w:line="74" w:lineRule="exact"/>
        <w:rPr>
          <w:sz w:val="20"/>
          <w:szCs w:val="20"/>
          <w:color w:val="auto"/>
        </w:rPr>
      </w:pPr>
    </w:p>
    <w:p>
      <w:pPr>
        <w:ind w:left="160" w:hanging="152"/>
        <w:spacing w:after="0"/>
        <w:tabs>
          <w:tab w:leader="none" w:pos="160" w:val="left"/>
        </w:tabs>
        <w:numPr>
          <w:ilvl w:val="0"/>
          <w:numId w:val="1"/>
        </w:numPr>
        <w:rPr>
          <w:rFonts w:ascii="Arial" w:cs="Arial" w:eastAsia="Arial" w:hAnsi="Arial"/>
          <w:sz w:val="14"/>
          <w:szCs w:val="14"/>
          <w:i w:val="1"/>
          <w:iCs w:val="1"/>
          <w:color w:val="auto"/>
        </w:rPr>
      </w:pPr>
      <w:r>
        <w:rPr>
          <w:rFonts w:ascii="Arial" w:cs="Arial" w:eastAsia="Arial" w:hAnsi="Arial"/>
          <w:sz w:val="14"/>
          <w:szCs w:val="14"/>
          <w:i w:val="1"/>
          <w:iCs w:val="1"/>
          <w:color w:val="auto"/>
        </w:rPr>
        <w:t>Liquidity is defined as Cash and Cash Equivalents and undrawn, committed revolving credit facilities.</w:t>
      </w:r>
    </w:p>
    <w:p>
      <w:pPr>
        <w:spacing w:after="0" w:line="251" w:lineRule="exact"/>
        <w:rPr>
          <w:rFonts w:ascii="Arial" w:cs="Arial" w:eastAsia="Arial" w:hAnsi="Arial"/>
          <w:sz w:val="14"/>
          <w:szCs w:val="14"/>
          <w:i w:val="1"/>
          <w:iCs w:val="1"/>
          <w:color w:val="auto"/>
        </w:rPr>
      </w:pPr>
    </w:p>
    <w:p>
      <w:pPr>
        <w:jc w:val="both"/>
        <w:ind w:left="440" w:hanging="331"/>
        <w:spacing w:after="0" w:line="248" w:lineRule="auto"/>
        <w:tabs>
          <w:tab w:leader="none" w:pos="412" w:val="left"/>
        </w:tabs>
        <w:numPr>
          <w:ilvl w:val="1"/>
          <w:numId w:val="1"/>
        </w:numPr>
        <w:rPr>
          <w:rFonts w:ascii="Arial" w:cs="Arial" w:eastAsia="Arial" w:hAnsi="Arial"/>
          <w:sz w:val="19"/>
          <w:szCs w:val="19"/>
          <w:color w:val="auto"/>
        </w:rPr>
      </w:pPr>
      <w:r>
        <w:rPr>
          <w:rFonts w:ascii="Arial" w:cs="Arial" w:eastAsia="Arial" w:hAnsi="Arial"/>
          <w:sz w:val="19"/>
          <w:szCs w:val="19"/>
          <w:color w:val="auto"/>
        </w:rPr>
        <w:t>LATAM group increased capacity by 10.4% and transported 22.9 million passengers during the first quarter of 2026, a 9.1% increase versus the same period of 2025, driven by the performance of the international segment and LATAM Airlines Brazil's domestic market. The group achieved a solid consolidated load factor of 85.3%, reflecting its ability to execute a strategy that captures passenger preference in a high-demand summer season in the Southern Hemisphere.</w:t>
      </w:r>
    </w:p>
    <w:p>
      <w:pPr>
        <w:spacing w:after="0" w:line="203" w:lineRule="exact"/>
        <w:rPr>
          <w:rFonts w:ascii="Arial" w:cs="Arial" w:eastAsia="Arial" w:hAnsi="Arial"/>
          <w:sz w:val="19"/>
          <w:szCs w:val="19"/>
          <w:color w:val="auto"/>
        </w:rPr>
      </w:pPr>
    </w:p>
    <w:p>
      <w:pPr>
        <w:jc w:val="both"/>
        <w:ind w:left="440" w:hanging="331"/>
        <w:spacing w:after="0" w:line="249" w:lineRule="auto"/>
        <w:tabs>
          <w:tab w:leader="none" w:pos="412" w:val="left"/>
        </w:tabs>
        <w:numPr>
          <w:ilvl w:val="1"/>
          <w:numId w:val="1"/>
        </w:numPr>
        <w:rPr>
          <w:rFonts w:ascii="Arial" w:cs="Arial" w:eastAsia="Arial" w:hAnsi="Arial"/>
          <w:sz w:val="19"/>
          <w:szCs w:val="19"/>
          <w:color w:val="auto"/>
        </w:rPr>
      </w:pPr>
      <w:r>
        <w:rPr>
          <w:rFonts w:ascii="Arial" w:cs="Arial" w:eastAsia="Arial" w:hAnsi="Arial"/>
          <w:sz w:val="19"/>
          <w:szCs w:val="19"/>
          <w:color w:val="auto"/>
        </w:rPr>
        <w:t>LATAM group's cargo affiliates transported over 250 thousand tons of cargo during the quarter, a 3.1% increase versus the same period of 2025. Specifically during the Valentine's Day flower season, the cargo affiliates led in the transportation of flowers from Colombia and Ecuador to the United States for the fourth consecutive year. Notably, the cargo operations reached an all-time high cargo Net Promoter Score (NPS) of 67 points in the first months of the year, demonstrating a strong and improving level of client preference.</w:t>
      </w:r>
    </w:p>
    <w:p>
      <w:pPr>
        <w:spacing w:after="0" w:line="203" w:lineRule="exact"/>
        <w:rPr>
          <w:rFonts w:ascii="Arial" w:cs="Arial" w:eastAsia="Arial" w:hAnsi="Arial"/>
          <w:sz w:val="19"/>
          <w:szCs w:val="19"/>
          <w:color w:val="auto"/>
        </w:rPr>
      </w:pPr>
    </w:p>
    <w:p>
      <w:pPr>
        <w:ind w:left="440" w:hanging="331"/>
        <w:spacing w:after="0" w:line="270" w:lineRule="auto"/>
        <w:tabs>
          <w:tab w:leader="none" w:pos="412" w:val="left"/>
        </w:tabs>
        <w:numPr>
          <w:ilvl w:val="1"/>
          <w:numId w:val="1"/>
        </w:numPr>
        <w:rPr>
          <w:rFonts w:ascii="Arial" w:cs="Arial" w:eastAsia="Arial" w:hAnsi="Arial"/>
          <w:sz w:val="19"/>
          <w:szCs w:val="19"/>
          <w:color w:val="auto"/>
        </w:rPr>
      </w:pPr>
      <w:r>
        <w:rPr>
          <w:rFonts w:ascii="Arial" w:cs="Arial" w:eastAsia="Arial" w:hAnsi="Arial"/>
          <w:sz w:val="19"/>
          <w:szCs w:val="19"/>
          <w:color w:val="auto"/>
        </w:rPr>
        <w:t>The Company has replaced its full-year 2026 guidance with a more focused set of metrics, reflecting a higher jet-fuel price and updated Brazilian real exchange rate assumptions.</w:t>
      </w:r>
    </w:p>
    <w:p>
      <w:pPr>
        <w:spacing w:after="0" w:line="183" w:lineRule="exact"/>
        <w:rPr>
          <w:rFonts w:ascii="Arial" w:cs="Arial" w:eastAsia="Arial" w:hAnsi="Arial"/>
          <w:sz w:val="19"/>
          <w:szCs w:val="19"/>
          <w:color w:val="auto"/>
        </w:rPr>
      </w:pPr>
    </w:p>
    <w:p>
      <w:pPr>
        <w:jc w:val="both"/>
        <w:ind w:left="440" w:right="20" w:hanging="331"/>
        <w:spacing w:after="0" w:line="254" w:lineRule="auto"/>
        <w:tabs>
          <w:tab w:leader="none" w:pos="412" w:val="left"/>
        </w:tabs>
        <w:numPr>
          <w:ilvl w:val="1"/>
          <w:numId w:val="1"/>
        </w:numPr>
        <w:rPr>
          <w:rFonts w:ascii="Arial" w:cs="Arial" w:eastAsia="Arial" w:hAnsi="Arial"/>
          <w:sz w:val="19"/>
          <w:szCs w:val="19"/>
          <w:color w:val="auto"/>
        </w:rPr>
      </w:pPr>
      <w:r>
        <w:rPr>
          <w:rFonts w:ascii="Arial" w:cs="Arial" w:eastAsia="Arial" w:hAnsi="Arial"/>
          <w:sz w:val="19"/>
          <w:szCs w:val="19"/>
          <w:color w:val="auto"/>
        </w:rPr>
        <w:t>In March, Moody’s revised LATAM’s credit rating outlook from neutral to positive and in April, Fitch reaffirmed its rating and positive outlook. With this, all international credit rating agencies maintain a positive outlook and ratings aligned at BB/Ba2 on the Company, underscoring LATAM’s strengthened credit profile.</w:t>
      </w:r>
    </w:p>
    <w:p>
      <w:pPr>
        <w:spacing w:after="0" w:line="197" w:lineRule="exact"/>
        <w:rPr>
          <w:rFonts w:ascii="Arial" w:cs="Arial" w:eastAsia="Arial" w:hAnsi="Arial"/>
          <w:sz w:val="19"/>
          <w:szCs w:val="19"/>
          <w:color w:val="auto"/>
        </w:rPr>
      </w:pPr>
    </w:p>
    <w:p>
      <w:pPr>
        <w:ind w:left="440" w:hanging="331"/>
        <w:spacing w:after="0" w:line="270" w:lineRule="auto"/>
        <w:tabs>
          <w:tab w:leader="none" w:pos="412" w:val="left"/>
        </w:tabs>
        <w:numPr>
          <w:ilvl w:val="1"/>
          <w:numId w:val="1"/>
        </w:numPr>
        <w:rPr>
          <w:rFonts w:ascii="Arial" w:cs="Arial" w:eastAsia="Arial" w:hAnsi="Arial"/>
          <w:sz w:val="19"/>
          <w:szCs w:val="19"/>
          <w:color w:val="auto"/>
        </w:rPr>
      </w:pPr>
      <w:r>
        <w:rPr>
          <w:rFonts w:ascii="Arial" w:cs="Arial" w:eastAsia="Arial" w:hAnsi="Arial"/>
          <w:sz w:val="19"/>
          <w:szCs w:val="19"/>
          <w:color w:val="auto"/>
        </w:rPr>
        <w:t>At the Ordinary Shareholders' Meeting held on April 23, 2026, LATAM's shareholders approved a final dividend equivalent to 30% of 2025 net income, totaling approximately US$438 million. Of these, US$400 million had already</w:t>
      </w:r>
    </w:p>
    <w:p>
      <w:pPr>
        <w:sectPr>
          <w:pgSz w:w="11900" w:h="16838" w:orient="portrait"/>
          <w:cols w:equalWidth="0" w:num="1">
            <w:col w:w="11240"/>
          </w:cols>
          <w:pgMar w:left="320" w:top="3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7F7F7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586359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63590" cy="6858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type w:val="continuous"/>
        </w:sectPr>
      </w:pPr>
    </w:p>
    <w:bookmarkStart w:id="4" w:name="page5"/>
    <w:bookmarkEnd w:id="4"/>
    <w:p>
      <w:pPr>
        <w:ind w:left="140" w:right="10120"/>
        <w:spacing w:after="0" w:line="249" w:lineRule="auto"/>
        <w:rPr>
          <w:sz w:val="20"/>
          <w:szCs w:val="20"/>
          <w:color w:val="auto"/>
        </w:rPr>
      </w:pPr>
      <w:r>
        <w:rPr>
          <w:rFonts w:ascii="Arial" w:cs="Arial" w:eastAsia="Arial" w:hAnsi="Arial"/>
          <w:sz w:val="25"/>
          <w:szCs w:val="25"/>
          <w:i w:val="1"/>
          <w:i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5829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82930"/>
                    </a:xfrm>
                    <a:prstGeom prst="rect">
                      <a:avLst/>
                    </a:prstGeom>
                    <a:noFill/>
                  </pic:spPr>
                </pic:pic>
              </a:graphicData>
            </a:graphic>
          </wp:anchor>
        </w:drawing>
        <w:t>1Q 2026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40"/>
        <w:spacing w:after="0" w:line="270" w:lineRule="auto"/>
        <w:rPr>
          <w:sz w:val="20"/>
          <w:szCs w:val="20"/>
          <w:color w:val="auto"/>
        </w:rPr>
      </w:pPr>
      <w:r>
        <w:rPr>
          <w:rFonts w:ascii="Arial" w:cs="Arial" w:eastAsia="Arial" w:hAnsi="Arial"/>
          <w:sz w:val="19"/>
          <w:szCs w:val="19"/>
          <w:color w:val="auto"/>
        </w:rPr>
        <w:t>been distributed through interim dividends in December 2025. In addition, shareholders elected a new Board of Directors, which will serve for a period of two years.</w:t>
      </w:r>
    </w:p>
    <w:p>
      <w:pPr>
        <w:spacing w:after="0" w:line="183" w:lineRule="exact"/>
        <w:rPr>
          <w:sz w:val="20"/>
          <w:szCs w:val="20"/>
          <w:color w:val="auto"/>
        </w:rPr>
      </w:pPr>
    </w:p>
    <w:p>
      <w:pPr>
        <w:jc w:val="both"/>
        <w:ind w:left="440" w:hanging="331"/>
        <w:spacing w:after="0" w:line="254" w:lineRule="auto"/>
        <w:tabs>
          <w:tab w:leader="none" w:pos="412" w:val="left"/>
        </w:tabs>
        <w:numPr>
          <w:ilvl w:val="0"/>
          <w:numId w:val="2"/>
        </w:numPr>
        <w:rPr>
          <w:rFonts w:ascii="Arial" w:cs="Arial" w:eastAsia="Arial" w:hAnsi="Arial"/>
          <w:sz w:val="19"/>
          <w:szCs w:val="19"/>
          <w:color w:val="auto"/>
        </w:rPr>
      </w:pPr>
      <w:r>
        <w:rPr>
          <w:rFonts w:ascii="Arial" w:cs="Arial" w:eastAsia="Arial" w:hAnsi="Arial"/>
          <w:sz w:val="19"/>
          <w:szCs w:val="19"/>
          <w:color w:val="auto"/>
        </w:rPr>
        <w:t>During the first quarter, LATAM group achieved a 4-star rating in the Skytrax World Airline Star Rating, becoming the first airline in Latin American history to reach this global standard, which recognizes the consistent quality of the travel experience at every stage, from digital interaction and airport processes to in-flight service.</w:t>
      </w:r>
    </w:p>
    <w:p>
      <w:pPr>
        <w:spacing w:after="0" w:line="197" w:lineRule="exact"/>
        <w:rPr>
          <w:rFonts w:ascii="Arial" w:cs="Arial" w:eastAsia="Arial" w:hAnsi="Arial"/>
          <w:sz w:val="19"/>
          <w:szCs w:val="19"/>
          <w:color w:val="auto"/>
        </w:rPr>
      </w:pPr>
    </w:p>
    <w:p>
      <w:pPr>
        <w:jc w:val="both"/>
        <w:ind w:left="440" w:hanging="331"/>
        <w:spacing w:after="0" w:line="248" w:lineRule="auto"/>
        <w:tabs>
          <w:tab w:leader="none" w:pos="412" w:val="left"/>
        </w:tabs>
        <w:numPr>
          <w:ilvl w:val="0"/>
          <w:numId w:val="2"/>
        </w:numPr>
        <w:rPr>
          <w:rFonts w:ascii="Arial" w:cs="Arial" w:eastAsia="Arial" w:hAnsi="Arial"/>
          <w:sz w:val="19"/>
          <w:szCs w:val="19"/>
          <w:color w:val="auto"/>
        </w:rPr>
      </w:pPr>
      <w:r>
        <w:rPr>
          <w:rFonts w:ascii="Arial" w:cs="Arial" w:eastAsia="Arial" w:hAnsi="Arial"/>
          <w:sz w:val="19"/>
          <w:szCs w:val="19"/>
          <w:color w:val="auto"/>
        </w:rPr>
        <w:t>LATAM Airlines Group was recognized for the second year in a row as the most sustainable airline group in the Western Hemisphere and fifth in the world by S&amp;P Global. This recognition, together with the inclusion into the S&amp;P Global's Sustainability Yearbook, reflect the efforts made towards LATAM group becoming a contributor to the regions in which it operates, generating a positive tangible impact on ecosystems and people's quality of life.</w:t>
      </w:r>
    </w:p>
    <w:p>
      <w:pPr>
        <w:spacing w:after="0" w:line="217" w:lineRule="exact"/>
        <w:rPr>
          <w:rFonts w:ascii="Arial" w:cs="Arial" w:eastAsia="Arial" w:hAnsi="Arial"/>
          <w:sz w:val="19"/>
          <w:szCs w:val="19"/>
          <w:color w:val="auto"/>
        </w:rPr>
      </w:pPr>
    </w:p>
    <w:p>
      <w:pPr>
        <w:jc w:val="both"/>
        <w:ind w:left="440" w:hanging="331"/>
        <w:spacing w:after="0" w:line="248" w:lineRule="auto"/>
        <w:tabs>
          <w:tab w:leader="none" w:pos="412" w:val="left"/>
        </w:tabs>
        <w:numPr>
          <w:ilvl w:val="0"/>
          <w:numId w:val="2"/>
        </w:numPr>
        <w:rPr>
          <w:rFonts w:ascii="Arial" w:cs="Arial" w:eastAsia="Arial" w:hAnsi="Arial"/>
          <w:sz w:val="19"/>
          <w:szCs w:val="19"/>
          <w:color w:val="auto"/>
        </w:rPr>
      </w:pPr>
      <w:r>
        <w:rPr>
          <w:rFonts w:ascii="Arial" w:cs="Arial" w:eastAsia="Arial" w:hAnsi="Arial"/>
          <w:sz w:val="19"/>
          <w:szCs w:val="19"/>
          <w:color w:val="auto"/>
        </w:rPr>
        <w:t>On April 22, 2026, LATAM Airlines Brasil and Delta Air Lines, Inc. announced a long-term commercial agreement for maintenance, repair and overhaul (MRO) services in Sao Carlos (Sao Paulo), Brazil, focused on A320 family component repair. This initiative builds on the existing Joint Venture relationship between Delta and the LATAM group, marking a new phase in their technical collaboration and reinforcing a strong track record of operational and engineering cooperation.</w:t>
      </w:r>
    </w:p>
    <w:p>
      <w:pPr>
        <w:spacing w:after="0" w:line="18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ED1650"/>
        </w:rPr>
        <w:t>MANAGEMENT COMMENTS - FIRST QUARTER 2026</w:t>
      </w:r>
    </w:p>
    <w:p>
      <w:pPr>
        <w:spacing w:after="0" w:line="219"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 first quarter of 2026 was characterized by strong operational and financial performance for LATAM, reflecting the continued execution of its profitable growth strategy. This performance marks the group’s best quarterly results in its history, supported by its ability to capture demand during the high summer season, particularly across the international segment and LATAM Airlines Brazil domestic market. This was complemented by disciplined capacity allocation and the consistent commitment of the group’s employees, while the diversified and expanding network and continued focus on operational execution reinforce the strengths of the unique business model LATAM has built over the years.</w:t>
      </w: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Product differentiation, customer preference and premium revenues were key drivers of LATAM’s performance, accompanied by robust booking trends. The premium segment continued to gain relevance, with premium revenues increasing 28% year-over-year, highlighting the group's ability to capture higher-value demand through a consistently enhanced customer offering. As a result, LATAM's premium revenues reached 27% of passenger revenues.</w:t>
      </w:r>
    </w:p>
    <w:p>
      <w:pPr>
        <w:spacing w:after="0" w:line="190" w:lineRule="exact"/>
        <w:rPr>
          <w:sz w:val="20"/>
          <w:szCs w:val="20"/>
          <w:color w:val="auto"/>
        </w:rPr>
      </w:pPr>
    </w:p>
    <w:p>
      <w:pPr>
        <w:jc w:val="both"/>
        <w:spacing w:after="0" w:line="220" w:lineRule="auto"/>
        <w:rPr>
          <w:sz w:val="20"/>
          <w:szCs w:val="20"/>
          <w:color w:val="auto"/>
        </w:rPr>
      </w:pPr>
      <w:r>
        <w:rPr>
          <w:rFonts w:ascii="Arial" w:cs="Arial" w:eastAsia="Arial" w:hAnsi="Arial"/>
          <w:sz w:val="19"/>
          <w:szCs w:val="19"/>
          <w:color w:val="auto"/>
        </w:rPr>
        <w:t>Demand across LATAM group’s markets remained strong throughout the period, even as necessary fare adjustments began to reflect a higher fuel cost environment. Booking patterns and visibility continue to show strength across markets in the short term. This highlights both the resilience of demand and a continued willingness to pay for the LATAM product. Premium cabins, corporate demand and international operations remain key contributors to revenue quality, supporting LATAM’s ability to sustain positive margins in a more challenging environment.</w:t>
      </w:r>
    </w:p>
    <w:p>
      <w:pPr>
        <w:spacing w:after="0" w:line="187"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“LATAM began 2026 maintaining the momentum from 2025 and further consolidating its financial performance, with sustained growth in revenues, margins, and cash generation. This strength, supported by a diversified network, continued progress in the premium segment, and an efficient cost structure, provides the flexibility needed to manage fuel volatility and uncertainty for the remainder of the year.”said Ricardo Bottas, CFO of LATAM Airlines Group.</w:t>
      </w:r>
    </w:p>
    <w:p>
      <w:pPr>
        <w:spacing w:after="0" w:line="200" w:lineRule="exact"/>
        <w:rPr>
          <w:sz w:val="20"/>
          <w:szCs w:val="20"/>
          <w:color w:val="auto"/>
        </w:rPr>
      </w:pPr>
    </w:p>
    <w:p>
      <w:pPr>
        <w:spacing w:after="0" w:line="226"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The quarter was marked by a significant increase in jet fuel prices in March, driven by the geopolitical conflict in the Middle East and rising global uncertainty. The price of fuel increased sharply compared to the beginning of the year, at times more than doubling. Due to the timing of fuel consumption, price lagging mechanisms, and partial hedges, however, this increase is not materially reflected in the first quarter financial results. The estimated impact is approximately US$40 million.</w:t>
      </w:r>
    </w:p>
    <w:p>
      <w:pPr>
        <w:spacing w:after="0" w:line="182" w:lineRule="exact"/>
        <w:rPr>
          <w:sz w:val="20"/>
          <w:szCs w:val="20"/>
          <w:color w:val="auto"/>
        </w:rPr>
      </w:pPr>
    </w:p>
    <w:p>
      <w:pPr>
        <w:jc w:val="both"/>
        <w:spacing w:after="0" w:line="209" w:lineRule="auto"/>
        <w:rPr>
          <w:sz w:val="20"/>
          <w:szCs w:val="20"/>
          <w:color w:val="auto"/>
        </w:rPr>
      </w:pPr>
      <w:r>
        <w:rPr>
          <w:rFonts w:ascii="Arial" w:cs="Arial" w:eastAsia="Arial" w:hAnsi="Arial"/>
          <w:sz w:val="19"/>
          <w:szCs w:val="19"/>
          <w:color w:val="auto"/>
        </w:rPr>
        <w:t>LATAM expects additional fuel expenses of more than US$700 million</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for 2Q26 at an assumed jet fuel price of US$170 per barrel. The impact over margins and cash flows is expected to be partially offset by a group of actions taken since the beginning of the conflict, including revenue actions, targeted capacity adjustments, additional cost control initiatives, finance and working capital liquidity measures, as well as LATAM’s hedging policy. In terms of outlook for the second quarter, despite the significant fuel impact, LATAM expects to deliver a mid-to-low single-digit adjusted operating margin. All these elements together are considered in the New 2026 Guidance.</w:t>
      </w:r>
    </w:p>
    <w:p>
      <w:pPr>
        <w:spacing w:after="0" w:line="187" w:lineRule="exact"/>
        <w:rPr>
          <w:sz w:val="20"/>
          <w:szCs w:val="20"/>
          <w:color w:val="auto"/>
        </w:rPr>
      </w:pPr>
    </w:p>
    <w:p>
      <w:pPr>
        <w:jc w:val="both"/>
        <w:spacing w:after="0" w:line="229" w:lineRule="auto"/>
        <w:rPr>
          <w:sz w:val="20"/>
          <w:szCs w:val="20"/>
          <w:color w:val="auto"/>
        </w:rPr>
      </w:pPr>
      <w:r>
        <w:rPr>
          <w:rFonts w:ascii="Arial" w:cs="Arial" w:eastAsia="Arial" w:hAnsi="Arial"/>
          <w:sz w:val="19"/>
          <w:szCs w:val="19"/>
          <w:color w:val="auto"/>
        </w:rPr>
        <w:t>In this context, LATAM’s strong balance sheet and liquidity position provide the flexibility to absorb fuel price volatility, continue investing in the business, and manage uncertainty while maintaining operational and financial discipline. This financial strength is complemented by an extensive network, a diversified revenue base with growing contributions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1714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95" w:lineRule="exact"/>
        <w:rPr>
          <w:sz w:val="20"/>
          <w:szCs w:val="20"/>
          <w:color w:val="auto"/>
        </w:rPr>
      </w:pPr>
    </w:p>
    <w:p>
      <w:pPr>
        <w:ind w:left="100" w:hanging="92"/>
        <w:spacing w:after="0"/>
        <w:tabs>
          <w:tab w:leader="none" w:pos="10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Estimation calculated as the differential between prior guidance fuel assumption of US$90 per barrel and new guidance assumption of US$170 per barrel.</w:t>
      </w:r>
    </w:p>
    <w:p>
      <w:pPr>
        <w:sectPr>
          <w:pgSz w:w="11900" w:h="16838" w:orient="portrait"/>
          <w:cols w:equalWidth="0" w:num="1">
            <w:col w:w="11240"/>
          </w:cols>
          <w:pgMar w:left="320" w:top="322" w:right="339" w:bottom="6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7F7F7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86359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63590" cy="68580"/>
                    </a:xfrm>
                    <a:prstGeom prst="rect">
                      <a:avLst/>
                    </a:prstGeom>
                    <a:noFill/>
                  </pic:spPr>
                </pic:pic>
              </a:graphicData>
            </a:graphic>
          </wp:anchor>
        </w:drawing>
      </w:r>
    </w:p>
    <w:p>
      <w:pPr>
        <w:sectPr>
          <w:pgSz w:w="11900" w:h="16838" w:orient="portrait"/>
          <w:cols w:equalWidth="0" w:num="1">
            <w:col w:w="11240"/>
          </w:cols>
          <w:pgMar w:left="320" w:top="322" w:right="339" w:bottom="619" w:gutter="0" w:footer="0" w:header="0"/>
          <w:type w:val="continuous"/>
        </w:sectPr>
      </w:pPr>
    </w:p>
    <w:bookmarkStart w:id="5" w:name="page6"/>
    <w:bookmarkEnd w:id="5"/>
    <w:p>
      <w:pPr>
        <w:ind w:left="140" w:right="10120"/>
        <w:spacing w:after="0" w:line="249" w:lineRule="auto"/>
        <w:rPr>
          <w:sz w:val="20"/>
          <w:szCs w:val="20"/>
          <w:color w:val="auto"/>
        </w:rPr>
      </w:pPr>
      <w:r>
        <w:rPr>
          <w:rFonts w:ascii="Arial" w:cs="Arial" w:eastAsia="Arial" w:hAnsi="Arial"/>
          <w:sz w:val="25"/>
          <w:szCs w:val="25"/>
          <w:i w:val="1"/>
          <w:i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582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82930"/>
                    </a:xfrm>
                    <a:prstGeom prst="rect">
                      <a:avLst/>
                    </a:prstGeom>
                    <a:noFill/>
                  </pic:spPr>
                </pic:pic>
              </a:graphicData>
            </a:graphic>
          </wp:anchor>
        </w:drawing>
        <w:t>1Q 2026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18" w:lineRule="auto"/>
        <w:rPr>
          <w:sz w:val="20"/>
          <w:szCs w:val="20"/>
          <w:color w:val="auto"/>
        </w:rPr>
      </w:pPr>
      <w:r>
        <w:rPr>
          <w:rFonts w:ascii="Arial" w:cs="Arial" w:eastAsia="Arial" w:hAnsi="Arial"/>
          <w:sz w:val="19"/>
          <w:szCs w:val="19"/>
          <w:color w:val="auto"/>
        </w:rPr>
        <w:t>premium segments, and the scale of its loyalty program, which continues to deepen customer engagement across the region. Together with a differentiated value proposition and a relentless focus on cost efficiency, these structural strengths enable LATAM's active management of external pressures while sustaining a consistent, high-quality customer experience and reinforcing its long-term commitment to the region. LATAM approaches the coming months with confidence, supported by its experience in navigating volatility and the robustness of its business model, while maintaining a prudent stance in light of a still challenging and dynamic macroeconomic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1B0088"/>
        </w:rPr>
        <w:t>MANAGEMENT DISCUSSION AND ANALYSIS OF FIRST QUARTER 2026 RESULTS</w:t>
      </w:r>
    </w:p>
    <w:p>
      <w:pPr>
        <w:spacing w:after="0" w:line="230" w:lineRule="exact"/>
        <w:rPr>
          <w:sz w:val="20"/>
          <w:szCs w:val="20"/>
          <w:color w:val="auto"/>
        </w:rPr>
      </w:pPr>
    </w:p>
    <w:p>
      <w:pPr>
        <w:jc w:val="both"/>
        <w:ind w:left="140" w:hanging="2"/>
        <w:spacing w:after="0" w:line="254" w:lineRule="auto"/>
        <w:rPr>
          <w:sz w:val="20"/>
          <w:szCs w:val="20"/>
          <w:color w:val="auto"/>
        </w:rPr>
      </w:pPr>
      <w:r>
        <w:rPr>
          <w:rFonts w:ascii="Arial" w:cs="Arial" w:eastAsia="Arial" w:hAnsi="Arial"/>
          <w:sz w:val="19"/>
          <w:szCs w:val="19"/>
          <w:b w:val="1"/>
          <w:bCs w:val="1"/>
          <w:color w:val="EE2724"/>
        </w:rPr>
        <w:t xml:space="preserve">Total operating revenues </w:t>
      </w:r>
      <w:r>
        <w:rPr>
          <w:rFonts w:ascii="Arial" w:cs="Arial" w:eastAsia="Arial" w:hAnsi="Arial"/>
          <w:sz w:val="19"/>
          <w:szCs w:val="19"/>
          <w:color w:val="000000"/>
        </w:rPr>
        <w:t>amounted to US$4,151 million in the first quarter, an increase of 21.7% compared to the same period of</w:t>
      </w:r>
      <w:r>
        <w:rPr>
          <w:rFonts w:ascii="Arial" w:cs="Arial" w:eastAsia="Arial" w:hAnsi="Arial"/>
          <w:sz w:val="19"/>
          <w:szCs w:val="19"/>
          <w:b w:val="1"/>
          <w:bCs w:val="1"/>
          <w:color w:val="EE2724"/>
        </w:rPr>
        <w:t xml:space="preserve"> </w:t>
      </w:r>
      <w:r>
        <w:rPr>
          <w:rFonts w:ascii="Arial" w:cs="Arial" w:eastAsia="Arial" w:hAnsi="Arial"/>
          <w:sz w:val="19"/>
          <w:szCs w:val="19"/>
          <w:color w:val="000000"/>
        </w:rPr>
        <w:t>2025, explained by a 24.4% increase in passenger revenues and a 3.4% increase in cargo revenues. For the first quarter of 2026, passenger and cargo revenues represented 88.2% and 10.1% of total operating revenues, respectively.</w:t>
      </w:r>
    </w:p>
    <w:p>
      <w:pPr>
        <w:spacing w:after="0" w:line="184" w:lineRule="exact"/>
        <w:rPr>
          <w:sz w:val="20"/>
          <w:szCs w:val="20"/>
          <w:color w:val="auto"/>
        </w:rPr>
      </w:pPr>
    </w:p>
    <w:p>
      <w:pPr>
        <w:jc w:val="both"/>
        <w:ind w:left="660" w:hanging="328"/>
        <w:spacing w:after="0" w:line="243" w:lineRule="auto"/>
        <w:tabs>
          <w:tab w:leader="none" w:pos="659" w:val="left"/>
        </w:tabs>
        <w:numPr>
          <w:ilvl w:val="0"/>
          <w:numId w:val="4"/>
        </w:numPr>
        <w:rPr>
          <w:rFonts w:ascii="Arial" w:cs="Arial" w:eastAsia="Arial" w:hAnsi="Arial"/>
          <w:sz w:val="19"/>
          <w:szCs w:val="19"/>
          <w:color w:val="1B0088"/>
        </w:rPr>
      </w:pPr>
      <w:r>
        <w:rPr>
          <w:rFonts w:ascii="Arial" w:cs="Arial" w:eastAsia="Arial" w:hAnsi="Arial"/>
          <w:sz w:val="19"/>
          <w:szCs w:val="19"/>
          <w:b w:val="1"/>
          <w:bCs w:val="1"/>
          <w:color w:val="auto"/>
        </w:rPr>
        <w:t xml:space="preserve">Passenger revenues </w:t>
      </w:r>
      <w:r>
        <w:rPr>
          <w:rFonts w:ascii="Arial" w:cs="Arial" w:eastAsia="Arial" w:hAnsi="Arial"/>
          <w:sz w:val="19"/>
          <w:szCs w:val="19"/>
          <w:color w:val="auto"/>
        </w:rPr>
        <w:t>amounted to US$3,661 million in the first quarter, increasing 24.4% versus the same period of 2025.</w:t>
      </w:r>
      <w:r>
        <w:rPr>
          <w:rFonts w:ascii="Arial" w:cs="Arial" w:eastAsia="Arial" w:hAnsi="Arial"/>
          <w:sz w:val="19"/>
          <w:szCs w:val="19"/>
          <w:b w:val="1"/>
          <w:bCs w:val="1"/>
          <w:color w:val="auto"/>
        </w:rPr>
        <w:t xml:space="preserve"> </w:t>
      </w:r>
      <w:r>
        <w:rPr>
          <w:rFonts w:ascii="Arial" w:cs="Arial" w:eastAsia="Arial" w:hAnsi="Arial"/>
          <w:sz w:val="19"/>
          <w:szCs w:val="19"/>
          <w:color w:val="auto"/>
        </w:rPr>
        <w:t>Passenger unit revenue (PRASK) reached US$8.0 cents, representing a 12.7% increase versus the same period of 2025, demonstrating the group's ability to expand capacity by 10.4% while capturing strong yield performance across the network and premium segment.</w:t>
      </w:r>
    </w:p>
    <w:p>
      <w:pPr>
        <w:spacing w:after="0" w:line="222" w:lineRule="exact"/>
        <w:rPr>
          <w:rFonts w:ascii="Arial" w:cs="Arial" w:eastAsia="Arial" w:hAnsi="Arial"/>
          <w:sz w:val="19"/>
          <w:szCs w:val="19"/>
          <w:color w:val="1B0088"/>
        </w:rPr>
      </w:pPr>
    </w:p>
    <w:p>
      <w:pPr>
        <w:jc w:val="both"/>
        <w:ind w:left="660" w:hanging="328"/>
        <w:spacing w:after="0" w:line="254" w:lineRule="auto"/>
        <w:tabs>
          <w:tab w:leader="none" w:pos="659" w:val="left"/>
        </w:tabs>
        <w:numPr>
          <w:ilvl w:val="0"/>
          <w:numId w:val="4"/>
        </w:numPr>
        <w:rPr>
          <w:rFonts w:ascii="Arial" w:cs="Arial" w:eastAsia="Arial" w:hAnsi="Arial"/>
          <w:sz w:val="19"/>
          <w:szCs w:val="19"/>
          <w:color w:val="1B0088"/>
        </w:rPr>
      </w:pPr>
      <w:r>
        <w:rPr>
          <w:rFonts w:ascii="Arial" w:cs="Arial" w:eastAsia="Arial" w:hAnsi="Arial"/>
          <w:sz w:val="19"/>
          <w:szCs w:val="19"/>
          <w:b w:val="1"/>
          <w:bCs w:val="1"/>
          <w:color w:val="auto"/>
        </w:rPr>
        <w:t xml:space="preserve">Cargo revenues </w:t>
      </w:r>
      <w:r>
        <w:rPr>
          <w:rFonts w:ascii="Arial" w:cs="Arial" w:eastAsia="Arial" w:hAnsi="Arial"/>
          <w:sz w:val="19"/>
          <w:szCs w:val="19"/>
          <w:color w:val="auto"/>
        </w:rPr>
        <w:t>amounted to US$419 million in the first quarter, increasing 3.4% versus the same period of 2025, driven by a</w:t>
      </w:r>
      <w:r>
        <w:rPr>
          <w:rFonts w:ascii="Arial" w:cs="Arial" w:eastAsia="Arial" w:hAnsi="Arial"/>
          <w:sz w:val="19"/>
          <w:szCs w:val="19"/>
          <w:b w:val="1"/>
          <w:bCs w:val="1"/>
          <w:color w:val="auto"/>
        </w:rPr>
        <w:t xml:space="preserve"> </w:t>
      </w:r>
      <w:r>
        <w:rPr>
          <w:rFonts w:ascii="Arial" w:cs="Arial" w:eastAsia="Arial" w:hAnsi="Arial"/>
          <w:sz w:val="19"/>
          <w:szCs w:val="19"/>
          <w:color w:val="auto"/>
        </w:rPr>
        <w:t>6.9% increase in capacity (ATKs) and a stable yield environment. The group transported 251 thousand tons, up 3.1%, reflecting continued strength in the freighter network and belly operations.</w:t>
      </w:r>
    </w:p>
    <w:p>
      <w:pPr>
        <w:spacing w:after="0" w:line="197" w:lineRule="exact"/>
        <w:rPr>
          <w:rFonts w:ascii="Arial" w:cs="Arial" w:eastAsia="Arial" w:hAnsi="Arial"/>
          <w:sz w:val="19"/>
          <w:szCs w:val="19"/>
          <w:color w:val="1B0088"/>
        </w:rPr>
      </w:pPr>
    </w:p>
    <w:p>
      <w:pPr>
        <w:ind w:left="660" w:hanging="328"/>
        <w:spacing w:after="0" w:line="270" w:lineRule="auto"/>
        <w:tabs>
          <w:tab w:leader="none" w:pos="659" w:val="left"/>
        </w:tabs>
        <w:numPr>
          <w:ilvl w:val="0"/>
          <w:numId w:val="4"/>
        </w:numPr>
        <w:rPr>
          <w:rFonts w:ascii="Arial" w:cs="Arial" w:eastAsia="Arial" w:hAnsi="Arial"/>
          <w:sz w:val="19"/>
          <w:szCs w:val="19"/>
          <w:color w:val="1B0088"/>
        </w:rPr>
      </w:pPr>
      <w:r>
        <w:rPr>
          <w:rFonts w:ascii="Arial" w:cs="Arial" w:eastAsia="Arial" w:hAnsi="Arial"/>
          <w:sz w:val="19"/>
          <w:szCs w:val="19"/>
          <w:b w:val="1"/>
          <w:bCs w:val="1"/>
          <w:color w:val="auto"/>
        </w:rPr>
        <w:t xml:space="preserve">Other income </w:t>
      </w:r>
      <w:r>
        <w:rPr>
          <w:rFonts w:ascii="Arial" w:cs="Arial" w:eastAsia="Arial" w:hAnsi="Arial"/>
          <w:sz w:val="19"/>
          <w:szCs w:val="19"/>
          <w:color w:val="auto"/>
        </w:rPr>
        <w:t>amounted to US$70 million in the first quarter, up 13.0%, driven by an increase in the LATAM Travel business</w:t>
      </w:r>
      <w:r>
        <w:rPr>
          <w:rFonts w:ascii="Arial" w:cs="Arial" w:eastAsia="Arial" w:hAnsi="Arial"/>
          <w:sz w:val="19"/>
          <w:szCs w:val="19"/>
          <w:b w:val="1"/>
          <w:bCs w:val="1"/>
          <w:color w:val="auto"/>
        </w:rPr>
        <w:t xml:space="preserve"> </w:t>
      </w:r>
      <w:r>
        <w:rPr>
          <w:rFonts w:ascii="Arial" w:cs="Arial" w:eastAsia="Arial" w:hAnsi="Arial"/>
          <w:sz w:val="19"/>
          <w:szCs w:val="19"/>
          <w:color w:val="auto"/>
        </w:rPr>
        <w:t>and higher loyalty mile redemptions for non-airline products business.</w:t>
      </w:r>
    </w:p>
    <w:p>
      <w:pPr>
        <w:spacing w:after="0" w:line="183" w:lineRule="exact"/>
        <w:rPr>
          <w:sz w:val="20"/>
          <w:szCs w:val="20"/>
          <w:color w:val="auto"/>
        </w:rPr>
      </w:pPr>
    </w:p>
    <w:p>
      <w:pPr>
        <w:jc w:val="both"/>
        <w:ind w:left="140"/>
        <w:spacing w:after="0" w:line="246" w:lineRule="auto"/>
        <w:rPr>
          <w:sz w:val="20"/>
          <w:szCs w:val="20"/>
          <w:color w:val="auto"/>
        </w:rPr>
      </w:pPr>
      <w:r>
        <w:rPr>
          <w:rFonts w:ascii="Arial" w:cs="Arial" w:eastAsia="Arial" w:hAnsi="Arial"/>
          <w:sz w:val="19"/>
          <w:szCs w:val="19"/>
          <w:b w:val="1"/>
          <w:bCs w:val="1"/>
          <w:color w:val="ED1650"/>
        </w:rPr>
        <w:t xml:space="preserve">Total adjusted operating expenses </w:t>
      </w:r>
      <w:r>
        <w:rPr>
          <w:rFonts w:ascii="Arial" w:cs="Arial" w:eastAsia="Arial" w:hAnsi="Arial"/>
          <w:sz w:val="19"/>
          <w:szCs w:val="19"/>
          <w:color w:val="000000"/>
        </w:rPr>
        <w:t>reached US$3,328 million in the first quarter of 2026, up 17.3% versus 1Q25, driven by the</w:t>
      </w:r>
      <w:r>
        <w:rPr>
          <w:rFonts w:ascii="Arial" w:cs="Arial" w:eastAsia="Arial" w:hAnsi="Arial"/>
          <w:sz w:val="19"/>
          <w:szCs w:val="19"/>
          <w:b w:val="1"/>
          <w:bCs w:val="1"/>
          <w:color w:val="ED1650"/>
        </w:rPr>
        <w:t xml:space="preserve"> </w:t>
      </w:r>
      <w:r>
        <w:rPr>
          <w:rFonts w:ascii="Arial" w:cs="Arial" w:eastAsia="Arial" w:hAnsi="Arial"/>
          <w:sz w:val="19"/>
          <w:szCs w:val="19"/>
          <w:color w:val="000000"/>
        </w:rPr>
        <w:t>10.4% capacity expansion and the appreciation of local currencies, mainly the Brazilian real (BRL), which strengthened by approximately 10%, and the Chilean peso (CLP), which appreciated by 8%, versus the U.S. dollar. Adjusted passenger CASK ex-fuel rose 12.0% to US$4.5 cents in the quarter, with local currency appreciation contributing approximately US$0.2 cents to the increase. The group maintained strong cost discipline while investing in commercial and operational capabilities to support sustained growth.</w:t>
      </w:r>
    </w:p>
    <w:p>
      <w:pPr>
        <w:spacing w:after="0" w:line="209" w:lineRule="exact"/>
        <w:rPr>
          <w:sz w:val="20"/>
          <w:szCs w:val="20"/>
          <w:color w:val="auto"/>
        </w:rPr>
      </w:pPr>
    </w:p>
    <w:p>
      <w:pPr>
        <w:ind w:left="140"/>
        <w:spacing w:after="0"/>
        <w:rPr>
          <w:sz w:val="20"/>
          <w:szCs w:val="20"/>
          <w:color w:val="auto"/>
        </w:rPr>
      </w:pPr>
      <w:r>
        <w:rPr>
          <w:rFonts w:ascii="Arial" w:cs="Arial" w:eastAsia="Arial" w:hAnsi="Arial"/>
          <w:sz w:val="19"/>
          <w:szCs w:val="19"/>
          <w:color w:val="auto"/>
        </w:rPr>
        <w:t>The changes in adjusted operating expenses during the quarter were mainly explained by:</w:t>
      </w:r>
    </w:p>
    <w:p>
      <w:pPr>
        <w:spacing w:after="0" w:line="241" w:lineRule="exact"/>
        <w:rPr>
          <w:sz w:val="20"/>
          <w:szCs w:val="20"/>
          <w:color w:val="auto"/>
        </w:rPr>
      </w:pPr>
    </w:p>
    <w:p>
      <w:pPr>
        <w:jc w:val="both"/>
        <w:ind w:left="660" w:hanging="328"/>
        <w:spacing w:after="0" w:line="254" w:lineRule="auto"/>
        <w:tabs>
          <w:tab w:leader="none" w:pos="659" w:val="left"/>
        </w:tabs>
        <w:numPr>
          <w:ilvl w:val="0"/>
          <w:numId w:val="5"/>
        </w:numPr>
        <w:rPr>
          <w:rFonts w:ascii="Arial" w:cs="Arial" w:eastAsia="Arial" w:hAnsi="Arial"/>
          <w:sz w:val="19"/>
          <w:szCs w:val="19"/>
          <w:color w:val="auto"/>
        </w:rPr>
      </w:pPr>
      <w:r>
        <w:rPr>
          <w:rFonts w:ascii="Arial" w:cs="Arial" w:eastAsia="Arial" w:hAnsi="Arial"/>
          <w:sz w:val="19"/>
          <w:szCs w:val="19"/>
          <w:b w:val="1"/>
          <w:bCs w:val="1"/>
          <w:color w:val="auto"/>
        </w:rPr>
        <w:t xml:space="preserve">Wages and benefits </w:t>
      </w:r>
      <w:r>
        <w:rPr>
          <w:rFonts w:ascii="Arial" w:cs="Arial" w:eastAsia="Arial" w:hAnsi="Arial"/>
          <w:sz w:val="19"/>
          <w:szCs w:val="19"/>
          <w:color w:val="auto"/>
        </w:rPr>
        <w:t>rose 26.9% year-over-year, driven by a 7.4% increase in the average workforce to 41,718 employees</w:t>
      </w:r>
      <w:r>
        <w:rPr>
          <w:rFonts w:ascii="Arial" w:cs="Arial" w:eastAsia="Arial" w:hAnsi="Arial"/>
          <w:sz w:val="19"/>
          <w:szCs w:val="19"/>
          <w:b w:val="1"/>
          <w:bCs w:val="1"/>
          <w:color w:val="auto"/>
        </w:rPr>
        <w:t xml:space="preserve"> </w:t>
      </w:r>
      <w:r>
        <w:rPr>
          <w:rFonts w:ascii="Arial" w:cs="Arial" w:eastAsia="Arial" w:hAnsi="Arial"/>
          <w:sz w:val="19"/>
          <w:szCs w:val="19"/>
          <w:color w:val="auto"/>
        </w:rPr>
        <w:t>and the appreciation of the Brazilian real and Chilean peso against the U.S. dollar. Despite the increase, the group has demonstrated its ability to continue enhancing its operational efficiency.</w:t>
      </w:r>
    </w:p>
    <w:p>
      <w:pPr>
        <w:spacing w:after="0" w:line="197" w:lineRule="exact"/>
        <w:rPr>
          <w:rFonts w:ascii="Arial" w:cs="Arial" w:eastAsia="Arial" w:hAnsi="Arial"/>
          <w:sz w:val="19"/>
          <w:szCs w:val="19"/>
          <w:color w:val="auto"/>
        </w:rPr>
      </w:pPr>
    </w:p>
    <w:p>
      <w:pPr>
        <w:jc w:val="both"/>
        <w:ind w:left="660" w:hanging="328"/>
        <w:spacing w:after="0" w:line="249" w:lineRule="auto"/>
        <w:tabs>
          <w:tab w:leader="none" w:pos="659" w:val="left"/>
        </w:tabs>
        <w:numPr>
          <w:ilvl w:val="0"/>
          <w:numId w:val="5"/>
        </w:numPr>
        <w:rPr>
          <w:rFonts w:ascii="Arial" w:cs="Arial" w:eastAsia="Arial" w:hAnsi="Arial"/>
          <w:sz w:val="19"/>
          <w:szCs w:val="19"/>
          <w:color w:val="auto"/>
        </w:rPr>
      </w:pPr>
      <w:r>
        <w:rPr>
          <w:rFonts w:ascii="Arial" w:cs="Arial" w:eastAsia="Arial" w:hAnsi="Arial"/>
          <w:sz w:val="19"/>
          <w:szCs w:val="19"/>
          <w:b w:val="1"/>
          <w:bCs w:val="1"/>
          <w:color w:val="auto"/>
        </w:rPr>
        <w:t xml:space="preserve">Aircraft fuel costs </w:t>
      </w:r>
      <w:r>
        <w:rPr>
          <w:rFonts w:ascii="Arial" w:cs="Arial" w:eastAsia="Arial" w:hAnsi="Arial"/>
          <w:sz w:val="19"/>
          <w:szCs w:val="19"/>
          <w:color w:val="auto"/>
        </w:rPr>
        <w:t>increased 6.5% versus the same period of 2025, driven by a 10.1% increase in fuel consumption</w:t>
      </w:r>
      <w:r>
        <w:rPr>
          <w:rFonts w:ascii="Arial" w:cs="Arial" w:eastAsia="Arial" w:hAnsi="Arial"/>
          <w:sz w:val="19"/>
          <w:szCs w:val="19"/>
          <w:b w:val="1"/>
          <w:bCs w:val="1"/>
          <w:color w:val="auto"/>
        </w:rPr>
        <w:t xml:space="preserve"> </w:t>
      </w:r>
      <w:r>
        <w:rPr>
          <w:rFonts w:ascii="Arial" w:cs="Arial" w:eastAsia="Arial" w:hAnsi="Arial"/>
          <w:sz w:val="19"/>
          <w:szCs w:val="19"/>
          <w:color w:val="auto"/>
        </w:rPr>
        <w:t>associated with the expansion of operations, while partially offset by lower fuel prices. The average fuel price (including hedge) decreased 3.3% to US$113.8 per barrel. Elevated jet fuel market prices are not yet fully reflected in LATAM’s fuel expenses due to pricing lags driven by regional supply structures, which typically result in a 20–30 day delay between market prices and fuel prices paid by LATAM. The estimated impact is approximately US$40 million for the first quarter.</w:t>
      </w:r>
    </w:p>
    <w:p>
      <w:pPr>
        <w:spacing w:after="0" w:line="203" w:lineRule="exact"/>
        <w:rPr>
          <w:rFonts w:ascii="Arial" w:cs="Arial" w:eastAsia="Arial" w:hAnsi="Arial"/>
          <w:sz w:val="19"/>
          <w:szCs w:val="19"/>
          <w:color w:val="auto"/>
        </w:rPr>
      </w:pPr>
    </w:p>
    <w:p>
      <w:pPr>
        <w:jc w:val="both"/>
        <w:ind w:left="660" w:hanging="328"/>
        <w:spacing w:after="0" w:line="248" w:lineRule="auto"/>
        <w:tabs>
          <w:tab w:leader="none" w:pos="659" w:val="left"/>
        </w:tabs>
        <w:numPr>
          <w:ilvl w:val="0"/>
          <w:numId w:val="5"/>
        </w:numPr>
        <w:rPr>
          <w:rFonts w:ascii="Arial" w:cs="Arial" w:eastAsia="Arial" w:hAnsi="Arial"/>
          <w:sz w:val="19"/>
          <w:szCs w:val="19"/>
          <w:color w:val="auto"/>
        </w:rPr>
      </w:pPr>
      <w:r>
        <w:rPr>
          <w:rFonts w:ascii="Arial" w:cs="Arial" w:eastAsia="Arial" w:hAnsi="Arial"/>
          <w:sz w:val="19"/>
          <w:szCs w:val="19"/>
          <w:b w:val="1"/>
          <w:bCs w:val="1"/>
          <w:color w:val="auto"/>
        </w:rPr>
        <w:t xml:space="preserve">Commissions to agents </w:t>
      </w:r>
      <w:r>
        <w:rPr>
          <w:rFonts w:ascii="Arial" w:cs="Arial" w:eastAsia="Arial" w:hAnsi="Arial"/>
          <w:sz w:val="19"/>
          <w:szCs w:val="19"/>
          <w:color w:val="auto"/>
        </w:rPr>
        <w:t>increased 53.1% compared to 1Q25, reflecting the group's strong commercial momentum with</w:t>
      </w:r>
      <w:r>
        <w:rPr>
          <w:rFonts w:ascii="Arial" w:cs="Arial" w:eastAsia="Arial" w:hAnsi="Arial"/>
          <w:sz w:val="19"/>
          <w:szCs w:val="19"/>
          <w:b w:val="1"/>
          <w:bCs w:val="1"/>
          <w:color w:val="auto"/>
        </w:rPr>
        <w:t xml:space="preserve"> </w:t>
      </w:r>
      <w:r>
        <w:rPr>
          <w:rFonts w:ascii="Arial" w:cs="Arial" w:eastAsia="Arial" w:hAnsi="Arial"/>
          <w:sz w:val="19"/>
          <w:szCs w:val="19"/>
          <w:color w:val="auto"/>
        </w:rPr>
        <w:t>passenger revenues growing 24.4% and PRASK expanding 12.7%. The increase was driven by higher sales volumes through indirect channels, greater international segment activity, and a strong yield environment resulting in higher commission payments.</w:t>
      </w:r>
    </w:p>
    <w:p>
      <w:pPr>
        <w:spacing w:after="0" w:line="203" w:lineRule="exact"/>
        <w:rPr>
          <w:rFonts w:ascii="Arial" w:cs="Arial" w:eastAsia="Arial" w:hAnsi="Arial"/>
          <w:sz w:val="19"/>
          <w:szCs w:val="19"/>
          <w:color w:val="auto"/>
        </w:rPr>
      </w:pPr>
    </w:p>
    <w:p>
      <w:pPr>
        <w:jc w:val="both"/>
        <w:ind w:left="660" w:hanging="328"/>
        <w:spacing w:after="0" w:line="248" w:lineRule="auto"/>
        <w:tabs>
          <w:tab w:leader="none" w:pos="659" w:val="left"/>
        </w:tabs>
        <w:numPr>
          <w:ilvl w:val="0"/>
          <w:numId w:val="5"/>
        </w:numPr>
        <w:rPr>
          <w:rFonts w:ascii="Arial" w:cs="Arial" w:eastAsia="Arial" w:hAnsi="Arial"/>
          <w:sz w:val="19"/>
          <w:szCs w:val="19"/>
          <w:color w:val="auto"/>
        </w:rPr>
      </w:pPr>
      <w:r>
        <w:rPr>
          <w:rFonts w:ascii="Arial" w:cs="Arial" w:eastAsia="Arial" w:hAnsi="Arial"/>
          <w:sz w:val="19"/>
          <w:szCs w:val="19"/>
          <w:b w:val="1"/>
          <w:bCs w:val="1"/>
          <w:color w:val="auto"/>
        </w:rPr>
        <w:t xml:space="preserve">Depreciation and amortization </w:t>
      </w:r>
      <w:r>
        <w:rPr>
          <w:rFonts w:ascii="Arial" w:cs="Arial" w:eastAsia="Arial" w:hAnsi="Arial"/>
          <w:sz w:val="19"/>
          <w:szCs w:val="19"/>
          <w:color w:val="auto"/>
        </w:rPr>
        <w:t>increased 26.6% versus 1Q25, primarily due to a higher average number of aircraft in the</w:t>
      </w:r>
      <w:r>
        <w:rPr>
          <w:rFonts w:ascii="Arial" w:cs="Arial" w:eastAsia="Arial" w:hAnsi="Arial"/>
          <w:sz w:val="19"/>
          <w:szCs w:val="19"/>
          <w:b w:val="1"/>
          <w:bCs w:val="1"/>
          <w:color w:val="auto"/>
        </w:rPr>
        <w:t xml:space="preserve"> </w:t>
      </w:r>
      <w:r>
        <w:rPr>
          <w:rFonts w:ascii="Arial" w:cs="Arial" w:eastAsia="Arial" w:hAnsi="Arial"/>
          <w:sz w:val="19"/>
          <w:szCs w:val="19"/>
          <w:color w:val="auto"/>
        </w:rPr>
        <w:t>fleet. During the first quarter of 2026, LATAM group operated an average of 373 aircraft, up from 347 aircraft in the same period last year. The increase also reflects the incorporation of newer and higher-value aircraft as part of the fleet renewal strategy.</w:t>
      </w:r>
    </w:p>
    <w:p>
      <w:pPr>
        <w:sectPr>
          <w:pgSz w:w="11900" w:h="16838" w:orient="portrait"/>
          <w:cols w:equalWidth="0" w:num="1">
            <w:col w:w="11240"/>
          </w:cols>
          <w:pgMar w:left="320" w:top="322" w:right="339" w:bottom="7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7F7F7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86359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63590" cy="68580"/>
                    </a:xfrm>
                    <a:prstGeom prst="rect">
                      <a:avLst/>
                    </a:prstGeom>
                    <a:noFill/>
                  </pic:spPr>
                </pic:pic>
              </a:graphicData>
            </a:graphic>
          </wp:anchor>
        </w:drawing>
      </w:r>
    </w:p>
    <w:p>
      <w:pPr>
        <w:sectPr>
          <w:pgSz w:w="11900" w:h="16838" w:orient="portrait"/>
          <w:cols w:equalWidth="0" w:num="1">
            <w:col w:w="11240"/>
          </w:cols>
          <w:pgMar w:left="320" w:top="322" w:right="339" w:bottom="768" w:gutter="0" w:footer="0" w:header="0"/>
          <w:type w:val="continuous"/>
        </w:sectPr>
      </w:pPr>
    </w:p>
    <w:bookmarkStart w:id="6" w:name="page7"/>
    <w:bookmarkEnd w:id="6"/>
    <w:p>
      <w:pPr>
        <w:ind w:left="140" w:right="10120"/>
        <w:spacing w:after="0" w:line="249" w:lineRule="auto"/>
        <w:rPr>
          <w:sz w:val="20"/>
          <w:szCs w:val="20"/>
          <w:color w:val="auto"/>
        </w:rPr>
      </w:pPr>
      <w:r>
        <w:rPr>
          <w:rFonts w:ascii="Arial" w:cs="Arial" w:eastAsia="Arial" w:hAnsi="Arial"/>
          <w:sz w:val="25"/>
          <w:szCs w:val="25"/>
          <w:i w:val="1"/>
          <w:i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5829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82930"/>
                    </a:xfrm>
                    <a:prstGeom prst="rect">
                      <a:avLst/>
                    </a:prstGeom>
                    <a:noFill/>
                  </pic:spPr>
                </pic:pic>
              </a:graphicData>
            </a:graphic>
          </wp:anchor>
        </w:drawing>
        <w:t>1Q 2026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hanging="328"/>
        <w:spacing w:after="0" w:line="254" w:lineRule="auto"/>
        <w:tabs>
          <w:tab w:leader="none" w:pos="659" w:val="left"/>
        </w:tabs>
        <w:numPr>
          <w:ilvl w:val="0"/>
          <w:numId w:val="6"/>
        </w:numPr>
        <w:rPr>
          <w:rFonts w:ascii="Arial" w:cs="Arial" w:eastAsia="Arial" w:hAnsi="Arial"/>
          <w:sz w:val="19"/>
          <w:szCs w:val="19"/>
          <w:color w:val="auto"/>
        </w:rPr>
      </w:pPr>
      <w:r>
        <w:rPr>
          <w:rFonts w:ascii="Arial" w:cs="Arial" w:eastAsia="Arial" w:hAnsi="Arial"/>
          <w:sz w:val="19"/>
          <w:szCs w:val="19"/>
          <w:b w:val="1"/>
          <w:bCs w:val="1"/>
          <w:color w:val="auto"/>
        </w:rPr>
        <w:t xml:space="preserve">Other rental and landing fees </w:t>
      </w:r>
      <w:r>
        <w:rPr>
          <w:rFonts w:ascii="Arial" w:cs="Arial" w:eastAsia="Arial" w:hAnsi="Arial"/>
          <w:sz w:val="19"/>
          <w:szCs w:val="19"/>
          <w:color w:val="auto"/>
        </w:rPr>
        <w:t>increased 18.5% year-over-year, mainly driven by higher operational activity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appreciation of local currencies, particularly the Brazilian real, in addition to the positive effect of the reversal of certain provisions in the first quarter of 2025.</w:t>
      </w:r>
    </w:p>
    <w:p>
      <w:pPr>
        <w:spacing w:after="0" w:line="197" w:lineRule="exact"/>
        <w:rPr>
          <w:rFonts w:ascii="Arial" w:cs="Arial" w:eastAsia="Arial" w:hAnsi="Arial"/>
          <w:sz w:val="19"/>
          <w:szCs w:val="19"/>
          <w:color w:val="auto"/>
        </w:rPr>
      </w:pPr>
    </w:p>
    <w:p>
      <w:pPr>
        <w:ind w:left="660" w:hanging="328"/>
        <w:spacing w:after="0" w:line="270" w:lineRule="auto"/>
        <w:tabs>
          <w:tab w:leader="none" w:pos="659" w:val="left"/>
        </w:tabs>
        <w:numPr>
          <w:ilvl w:val="0"/>
          <w:numId w:val="6"/>
        </w:numPr>
        <w:rPr>
          <w:rFonts w:ascii="Arial" w:cs="Arial" w:eastAsia="Arial" w:hAnsi="Arial"/>
          <w:sz w:val="19"/>
          <w:szCs w:val="19"/>
          <w:color w:val="auto"/>
        </w:rPr>
      </w:pPr>
      <w:r>
        <w:rPr>
          <w:rFonts w:ascii="Arial" w:cs="Arial" w:eastAsia="Arial" w:hAnsi="Arial"/>
          <w:sz w:val="19"/>
          <w:szCs w:val="19"/>
          <w:b w:val="1"/>
          <w:bCs w:val="1"/>
          <w:color w:val="auto"/>
        </w:rPr>
        <w:t xml:space="preserve">Passenger services expenses </w:t>
      </w:r>
      <w:r>
        <w:rPr>
          <w:rFonts w:ascii="Arial" w:cs="Arial" w:eastAsia="Arial" w:hAnsi="Arial"/>
          <w:sz w:val="19"/>
          <w:szCs w:val="19"/>
          <w:color w:val="auto"/>
        </w:rPr>
        <w:t>rose 32.8% versus the same period of 2025, driven by growth in international passenger</w:t>
      </w:r>
      <w:r>
        <w:rPr>
          <w:rFonts w:ascii="Arial" w:cs="Arial" w:eastAsia="Arial" w:hAnsi="Arial"/>
          <w:sz w:val="19"/>
          <w:szCs w:val="19"/>
          <w:b w:val="1"/>
          <w:bCs w:val="1"/>
          <w:color w:val="auto"/>
        </w:rPr>
        <w:t xml:space="preserve"> </w:t>
      </w:r>
      <w:r>
        <w:rPr>
          <w:rFonts w:ascii="Arial" w:cs="Arial" w:eastAsia="Arial" w:hAnsi="Arial"/>
          <w:sz w:val="19"/>
          <w:szCs w:val="19"/>
          <w:color w:val="auto"/>
        </w:rPr>
        <w:t>traffic and a growing premium traveler segment.</w:t>
      </w:r>
    </w:p>
    <w:p>
      <w:pPr>
        <w:spacing w:after="0" w:line="183" w:lineRule="exact"/>
        <w:rPr>
          <w:rFonts w:ascii="Arial" w:cs="Arial" w:eastAsia="Arial" w:hAnsi="Arial"/>
          <w:sz w:val="19"/>
          <w:szCs w:val="19"/>
          <w:color w:val="auto"/>
        </w:rPr>
      </w:pPr>
    </w:p>
    <w:p>
      <w:pPr>
        <w:jc w:val="both"/>
        <w:ind w:left="660" w:hanging="328"/>
        <w:spacing w:after="0" w:line="261" w:lineRule="auto"/>
        <w:tabs>
          <w:tab w:leader="none" w:pos="628" w:val="left"/>
        </w:tabs>
        <w:numPr>
          <w:ilvl w:val="0"/>
          <w:numId w:val="6"/>
        </w:numPr>
        <w:rPr>
          <w:rFonts w:ascii="Arial" w:cs="Arial" w:eastAsia="Arial" w:hAnsi="Arial"/>
          <w:sz w:val="18"/>
          <w:szCs w:val="18"/>
          <w:color w:val="auto"/>
        </w:rPr>
      </w:pPr>
      <w:r>
        <w:rPr>
          <w:rFonts w:ascii="Arial" w:cs="Arial" w:eastAsia="Arial" w:hAnsi="Arial"/>
          <w:sz w:val="19"/>
          <w:szCs w:val="19"/>
          <w:b w:val="1"/>
          <w:bCs w:val="1"/>
          <w:color w:val="auto"/>
        </w:rPr>
        <w:t xml:space="preserve">Maintenance expenses </w:t>
      </w:r>
      <w:r>
        <w:rPr>
          <w:rFonts w:ascii="Arial" w:cs="Arial" w:eastAsia="Arial" w:hAnsi="Arial"/>
          <w:sz w:val="19"/>
          <w:szCs w:val="19"/>
          <w:color w:val="auto"/>
        </w:rPr>
        <w:t>totaled US$227 million, corresponding to a 22.1% increase versus 1Q25, mainly driven by increased</w:t>
      </w:r>
      <w:r>
        <w:rPr>
          <w:rFonts w:ascii="Arial" w:cs="Arial" w:eastAsia="Arial" w:hAnsi="Arial"/>
          <w:sz w:val="19"/>
          <w:szCs w:val="19"/>
          <w:b w:val="1"/>
          <w:bCs w:val="1"/>
          <w:color w:val="auto"/>
        </w:rPr>
        <w:t xml:space="preserve"> </w:t>
      </w:r>
      <w:r>
        <w:rPr>
          <w:rFonts w:ascii="Arial" w:cs="Arial" w:eastAsia="Arial" w:hAnsi="Arial"/>
          <w:sz w:val="19"/>
          <w:szCs w:val="19"/>
          <w:color w:val="auto"/>
        </w:rPr>
        <w:t>operational activity, fleet expansion, and a US$32 million positive impact related to the early termination of operating lease contracts for six aircraft recorded in the first quarter of 2025, resulting in a lower base of comparison.</w:t>
      </w:r>
    </w:p>
    <w:p>
      <w:pPr>
        <w:spacing w:after="0" w:line="191"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9"/>
          <w:szCs w:val="19"/>
          <w:b w:val="1"/>
          <w:bCs w:val="1"/>
          <w:color w:val="auto"/>
        </w:rPr>
        <w:t xml:space="preserve">Other operating expenses </w:t>
      </w:r>
      <w:r>
        <w:rPr>
          <w:rFonts w:ascii="Arial" w:cs="Arial" w:eastAsia="Arial" w:hAnsi="Arial"/>
          <w:sz w:val="19"/>
          <w:szCs w:val="19"/>
          <w:color w:val="auto"/>
        </w:rPr>
        <w:t>increased 12.1% compared to 1Q25, and amounted to US$378 million. This increase was</w:t>
      </w:r>
      <w:r>
        <w:rPr>
          <w:rFonts w:ascii="Arial" w:cs="Arial" w:eastAsia="Arial" w:hAnsi="Arial"/>
          <w:sz w:val="19"/>
          <w:szCs w:val="19"/>
          <w:b w:val="1"/>
          <w:bCs w:val="1"/>
          <w:color w:val="auto"/>
        </w:rPr>
        <w:t xml:space="preserve"> </w:t>
      </w:r>
      <w:r>
        <w:rPr>
          <w:rFonts w:ascii="Arial" w:cs="Arial" w:eastAsia="Arial" w:hAnsi="Arial"/>
          <w:sz w:val="19"/>
          <w:szCs w:val="19"/>
          <w:color w:val="auto"/>
        </w:rPr>
        <w:t>primarily driven by higher operating capacity, followed by the appreciation of local currencies against the U.S. dollar. These effects were accompanied by continued strategic investments in technology platforms and commercial capabilities.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9"/>
          <w:szCs w:val="19"/>
          <w:color w:val="auto"/>
        </w:rPr>
      </w:pPr>
      <w:r>
        <w:rPr>
          <w:rFonts w:ascii="Arial" w:cs="Arial" w:eastAsia="Arial" w:hAnsi="Arial"/>
          <w:sz w:val="19"/>
          <w:szCs w:val="19"/>
          <w:b w:val="1"/>
          <w:bCs w:val="1"/>
          <w:color w:val="auto"/>
        </w:rPr>
        <w:t xml:space="preserve">Other gains and losses </w:t>
      </w:r>
      <w:r>
        <w:rPr>
          <w:rFonts w:ascii="Arial" w:cs="Arial" w:eastAsia="Arial" w:hAnsi="Arial"/>
          <w:sz w:val="19"/>
          <w:szCs w:val="19"/>
          <w:color w:val="auto"/>
        </w:rPr>
        <w:t>totaled a US$7 million loss for the first quarter, explained by labor contingencies in Argentina.</w:t>
      </w:r>
    </w:p>
    <w:p>
      <w:pPr>
        <w:spacing w:after="0" w:line="241"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1B0088"/>
        </w:rPr>
        <w:t>Non-operating results</w:t>
      </w:r>
    </w:p>
    <w:p>
      <w:pPr>
        <w:spacing w:after="0" w:line="241" w:lineRule="exact"/>
        <w:rPr>
          <w:sz w:val="20"/>
          <w:szCs w:val="20"/>
          <w:color w:val="auto"/>
        </w:rPr>
      </w:pPr>
    </w:p>
    <w:p>
      <w:pPr>
        <w:ind w:left="660" w:hanging="328"/>
        <w:spacing w:after="0" w:line="270" w:lineRule="auto"/>
        <w:tabs>
          <w:tab w:leader="none" w:pos="659" w:val="left"/>
        </w:tabs>
        <w:numPr>
          <w:ilvl w:val="0"/>
          <w:numId w:val="7"/>
        </w:numPr>
        <w:rPr>
          <w:rFonts w:ascii="Arial" w:cs="Arial" w:eastAsia="Arial" w:hAnsi="Arial"/>
          <w:sz w:val="19"/>
          <w:szCs w:val="19"/>
          <w:color w:val="auto"/>
        </w:rPr>
      </w:pPr>
      <w:r>
        <w:rPr>
          <w:rFonts w:ascii="Arial" w:cs="Arial" w:eastAsia="Arial" w:hAnsi="Arial"/>
          <w:sz w:val="19"/>
          <w:szCs w:val="19"/>
          <w:b w:val="1"/>
          <w:bCs w:val="1"/>
          <w:color w:val="auto"/>
        </w:rPr>
        <w:t xml:space="preserve">Interest income </w:t>
      </w:r>
      <w:r>
        <w:rPr>
          <w:rFonts w:ascii="Arial" w:cs="Arial" w:eastAsia="Arial" w:hAnsi="Arial"/>
          <w:sz w:val="19"/>
          <w:szCs w:val="19"/>
          <w:color w:val="auto"/>
        </w:rPr>
        <w:t>amounted to US$37 million in the quarter, increasing US$3 million year-over-year due to higher average cash</w:t>
      </w:r>
      <w:r>
        <w:rPr>
          <w:rFonts w:ascii="Arial" w:cs="Arial" w:eastAsia="Arial" w:hAnsi="Arial"/>
          <w:sz w:val="19"/>
          <w:szCs w:val="19"/>
          <w:b w:val="1"/>
          <w:bCs w:val="1"/>
          <w:color w:val="auto"/>
        </w:rPr>
        <w:t xml:space="preserve"> </w:t>
      </w:r>
      <w:r>
        <w:rPr>
          <w:rFonts w:ascii="Arial" w:cs="Arial" w:eastAsia="Arial" w:hAnsi="Arial"/>
          <w:sz w:val="19"/>
          <w:szCs w:val="19"/>
          <w:color w:val="auto"/>
        </w:rPr>
        <w:t>balances compared to 1Q25.</w:t>
      </w:r>
    </w:p>
    <w:p>
      <w:pPr>
        <w:spacing w:after="0" w:line="196" w:lineRule="exact"/>
        <w:rPr>
          <w:rFonts w:ascii="Arial" w:cs="Arial" w:eastAsia="Arial" w:hAnsi="Arial"/>
          <w:sz w:val="19"/>
          <w:szCs w:val="19"/>
          <w:color w:val="auto"/>
        </w:rPr>
      </w:pPr>
    </w:p>
    <w:p>
      <w:pPr>
        <w:jc w:val="both"/>
        <w:ind w:left="660" w:right="20" w:hanging="328"/>
        <w:spacing w:after="0" w:line="254" w:lineRule="auto"/>
        <w:tabs>
          <w:tab w:leader="none" w:pos="659" w:val="left"/>
        </w:tabs>
        <w:numPr>
          <w:ilvl w:val="0"/>
          <w:numId w:val="7"/>
        </w:numPr>
        <w:rPr>
          <w:rFonts w:ascii="Arial" w:cs="Arial" w:eastAsia="Arial" w:hAnsi="Arial"/>
          <w:sz w:val="19"/>
          <w:szCs w:val="19"/>
          <w:color w:val="auto"/>
        </w:rPr>
      </w:pPr>
      <w:r>
        <w:rPr>
          <w:rFonts w:ascii="Arial" w:cs="Arial" w:eastAsia="Arial" w:hAnsi="Arial"/>
          <w:sz w:val="19"/>
          <w:szCs w:val="19"/>
          <w:b w:val="1"/>
          <w:bCs w:val="1"/>
          <w:color w:val="auto"/>
        </w:rPr>
        <w:t xml:space="preserve">Interest expense </w:t>
      </w:r>
      <w:r>
        <w:rPr>
          <w:rFonts w:ascii="Arial" w:cs="Arial" w:eastAsia="Arial" w:hAnsi="Arial"/>
          <w:sz w:val="19"/>
          <w:szCs w:val="19"/>
          <w:color w:val="auto"/>
        </w:rPr>
        <w:t>increased 8.1% versus 1Q25, to US$164 million. This was mainly driven by the incorporation of new fleet,</w:t>
      </w:r>
      <w:r>
        <w:rPr>
          <w:rFonts w:ascii="Arial" w:cs="Arial" w:eastAsia="Arial" w:hAnsi="Arial"/>
          <w:sz w:val="19"/>
          <w:szCs w:val="19"/>
          <w:b w:val="1"/>
          <w:bCs w:val="1"/>
          <w:color w:val="auto"/>
        </w:rPr>
        <w:t xml:space="preserve"> </w:t>
      </w:r>
      <w:r>
        <w:rPr>
          <w:rFonts w:ascii="Arial" w:cs="Arial" w:eastAsia="Arial" w:hAnsi="Arial"/>
          <w:sz w:val="19"/>
          <w:szCs w:val="19"/>
          <w:color w:val="auto"/>
        </w:rPr>
        <w:t>partially offset by a reduction in the cost of debt following the liability management exercise completed in the third quarter of 2025.</w:t>
      </w:r>
    </w:p>
    <w:p>
      <w:pPr>
        <w:spacing w:after="0" w:line="197" w:lineRule="exact"/>
        <w:rPr>
          <w:rFonts w:ascii="Arial" w:cs="Arial" w:eastAsia="Arial" w:hAnsi="Arial"/>
          <w:sz w:val="19"/>
          <w:szCs w:val="19"/>
          <w:color w:val="auto"/>
        </w:rPr>
      </w:pPr>
    </w:p>
    <w:p>
      <w:pPr>
        <w:ind w:left="660" w:hanging="328"/>
        <w:spacing w:after="0" w:line="270" w:lineRule="auto"/>
        <w:tabs>
          <w:tab w:leader="none" w:pos="659" w:val="left"/>
        </w:tabs>
        <w:numPr>
          <w:ilvl w:val="0"/>
          <w:numId w:val="7"/>
        </w:numPr>
        <w:rPr>
          <w:rFonts w:ascii="Arial" w:cs="Arial" w:eastAsia="Arial" w:hAnsi="Arial"/>
          <w:sz w:val="19"/>
          <w:szCs w:val="19"/>
          <w:color w:val="auto"/>
        </w:rPr>
      </w:pPr>
      <w:r>
        <w:rPr>
          <w:rFonts w:ascii="Arial" w:cs="Arial" w:eastAsia="Arial" w:hAnsi="Arial"/>
          <w:sz w:val="19"/>
          <w:szCs w:val="19"/>
          <w:b w:val="1"/>
          <w:bCs w:val="1"/>
          <w:color w:val="auto"/>
        </w:rPr>
        <w:t xml:space="preserve">Foreign exchange gains and losses </w:t>
      </w:r>
      <w:r>
        <w:rPr>
          <w:rFonts w:ascii="Arial" w:cs="Arial" w:eastAsia="Arial" w:hAnsi="Arial"/>
          <w:sz w:val="19"/>
          <w:szCs w:val="19"/>
          <w:color w:val="auto"/>
        </w:rPr>
        <w:t>amounted to US$54 million in losses in the first quarter of 2026, primarily driven by the</w:t>
      </w:r>
      <w:r>
        <w:rPr>
          <w:rFonts w:ascii="Arial" w:cs="Arial" w:eastAsia="Arial" w:hAnsi="Arial"/>
          <w:sz w:val="19"/>
          <w:szCs w:val="19"/>
          <w:b w:val="1"/>
          <w:bCs w:val="1"/>
          <w:color w:val="auto"/>
        </w:rPr>
        <w:t xml:space="preserve"> </w:t>
      </w:r>
      <w:r>
        <w:rPr>
          <w:rFonts w:ascii="Arial" w:cs="Arial" w:eastAsia="Arial" w:hAnsi="Arial"/>
          <w:sz w:val="19"/>
          <w:szCs w:val="19"/>
          <w:color w:val="auto"/>
        </w:rPr>
        <w:t>appreciation of the Brazilian real from BRL 5.50 per USD on December 31, 2025 to BRL 5.19 per USD on March 31, 2026.</w:t>
      </w:r>
    </w:p>
    <w:p>
      <w:pPr>
        <w:spacing w:after="0" w:line="183" w:lineRule="exact"/>
        <w:rPr>
          <w:rFonts w:ascii="Arial" w:cs="Arial" w:eastAsia="Arial" w:hAnsi="Arial"/>
          <w:sz w:val="19"/>
          <w:szCs w:val="19"/>
          <w:color w:val="auto"/>
        </w:rPr>
      </w:pPr>
    </w:p>
    <w:p>
      <w:pPr>
        <w:ind w:left="660" w:hanging="328"/>
        <w:spacing w:after="0"/>
        <w:tabs>
          <w:tab w:leader="none" w:pos="660" w:val="left"/>
        </w:tabs>
        <w:numPr>
          <w:ilvl w:val="0"/>
          <w:numId w:val="7"/>
        </w:numPr>
        <w:rPr>
          <w:rFonts w:ascii="Arial" w:cs="Arial" w:eastAsia="Arial" w:hAnsi="Arial"/>
          <w:sz w:val="19"/>
          <w:szCs w:val="19"/>
          <w:color w:val="auto"/>
        </w:rPr>
      </w:pPr>
      <w:r>
        <w:rPr>
          <w:rFonts w:ascii="Arial" w:cs="Arial" w:eastAsia="Arial" w:hAnsi="Arial"/>
          <w:sz w:val="19"/>
          <w:szCs w:val="19"/>
          <w:b w:val="1"/>
          <w:bCs w:val="1"/>
          <w:color w:val="auto"/>
        </w:rPr>
        <w:t xml:space="preserve">Result of indexation units </w:t>
      </w:r>
      <w:r>
        <w:rPr>
          <w:rFonts w:ascii="Arial" w:cs="Arial" w:eastAsia="Arial" w:hAnsi="Arial"/>
          <w:sz w:val="19"/>
          <w:szCs w:val="19"/>
          <w:color w:val="auto"/>
        </w:rPr>
        <w:t>totaled US$0.34 million in the quarter.</w:t>
      </w:r>
    </w:p>
    <w:p>
      <w:pPr>
        <w:spacing w:after="0" w:line="240" w:lineRule="exact"/>
        <w:rPr>
          <w:rFonts w:ascii="Arial" w:cs="Arial" w:eastAsia="Arial" w:hAnsi="Arial"/>
          <w:sz w:val="19"/>
          <w:szCs w:val="19"/>
          <w:color w:val="auto"/>
        </w:rPr>
      </w:pPr>
    </w:p>
    <w:p>
      <w:pPr>
        <w:jc w:val="both"/>
        <w:ind w:left="660" w:hanging="328"/>
        <w:spacing w:after="0" w:line="254" w:lineRule="auto"/>
        <w:tabs>
          <w:tab w:leader="none" w:pos="659" w:val="left"/>
        </w:tabs>
        <w:numPr>
          <w:ilvl w:val="0"/>
          <w:numId w:val="7"/>
        </w:numPr>
        <w:rPr>
          <w:rFonts w:ascii="Arial" w:cs="Arial" w:eastAsia="Arial" w:hAnsi="Arial"/>
          <w:sz w:val="19"/>
          <w:szCs w:val="19"/>
          <w:color w:val="auto"/>
        </w:rPr>
      </w:pPr>
      <w:r>
        <w:rPr>
          <w:rFonts w:ascii="Arial" w:cs="Arial" w:eastAsia="Arial" w:hAnsi="Arial"/>
          <w:sz w:val="19"/>
          <w:szCs w:val="19"/>
          <w:b w:val="1"/>
          <w:bCs w:val="1"/>
          <w:color w:val="auto"/>
        </w:rPr>
        <w:t xml:space="preserve">Net income attributable to the owners of the parent company </w:t>
      </w:r>
      <w:r>
        <w:rPr>
          <w:rFonts w:ascii="Arial" w:cs="Arial" w:eastAsia="Arial" w:hAnsi="Arial"/>
          <w:sz w:val="19"/>
          <w:szCs w:val="19"/>
          <w:color w:val="auto"/>
        </w:rPr>
        <w:t>during the quarter amounted to US$576 million, an increase</w:t>
      </w:r>
      <w:r>
        <w:rPr>
          <w:rFonts w:ascii="Arial" w:cs="Arial" w:eastAsia="Arial" w:hAnsi="Arial"/>
          <w:sz w:val="19"/>
          <w:szCs w:val="19"/>
          <w:b w:val="1"/>
          <w:bCs w:val="1"/>
          <w:color w:val="auto"/>
        </w:rPr>
        <w:t xml:space="preserve"> </w:t>
      </w:r>
      <w:r>
        <w:rPr>
          <w:rFonts w:ascii="Arial" w:cs="Arial" w:eastAsia="Arial" w:hAnsi="Arial"/>
          <w:sz w:val="19"/>
          <w:szCs w:val="19"/>
          <w:color w:val="auto"/>
        </w:rPr>
        <w:t>of 62.1% year-over-year. Net income attributable to owners of the parent company serves as the basis for calculating dividend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7F7F7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86359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63590" cy="6858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7" w:name="page8"/>
    <w:bookmarkEnd w:id="7"/>
    <w:p>
      <w:pPr>
        <w:ind w:left="140" w:right="10120"/>
        <w:spacing w:after="0" w:line="249" w:lineRule="auto"/>
        <w:rPr>
          <w:sz w:val="20"/>
          <w:szCs w:val="20"/>
          <w:color w:val="auto"/>
        </w:rPr>
      </w:pPr>
      <w:r>
        <w:rPr>
          <w:rFonts w:ascii="Arial" w:cs="Arial" w:eastAsia="Arial" w:hAnsi="Arial"/>
          <w:sz w:val="25"/>
          <w:szCs w:val="25"/>
          <w:i w:val="1"/>
          <w:i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582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82930"/>
                    </a:xfrm>
                    <a:prstGeom prst="rect">
                      <a:avLst/>
                    </a:prstGeom>
                    <a:noFill/>
                  </pic:spPr>
                </pic:pic>
              </a:graphicData>
            </a:graphic>
          </wp:anchor>
        </w:drawing>
        <w:t>1Q 2026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1B0088"/>
        </w:rPr>
        <w:t>LIQUIDITY AND FINANCING</w:t>
      </w:r>
    </w:p>
    <w:p>
      <w:pPr>
        <w:spacing w:after="0" w:line="325"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In the quarter, LATAM Airlines Group generated US$391 million in cash, including the payment of US$89 million related to the interim dividend approved in December 2025. LATAM ended the period with cash and cash equivalents of US$2,541 million (+18.2% vs December 31, 2025). Additionally, LATAM has US$1,575 million in available and fully undrawn revolving credit facilities (“RCF”). Liquidity as a percentage of revenues of last twelve months stood at 27.0%.</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At the end of 1Q 2026, LATAM had a financial debt of US$4.4 billion and lease liabilities of US$4.0 billion, resulting in a total accounting debt of US$8.4 billion and net debt of US$5.9 billion. Additionally, LATAM's adjusted net leverage stood at 1.3x versus 1.5x at the end of 2025.</w:t>
      </w:r>
    </w:p>
    <w:p>
      <w:pPr>
        <w:spacing w:after="0" w:line="208" w:lineRule="exact"/>
        <w:rPr>
          <w:sz w:val="20"/>
          <w:szCs w:val="20"/>
          <w:color w:val="auto"/>
        </w:rPr>
      </w:pPr>
    </w:p>
    <w:tbl>
      <w:tblPr>
        <w:tblLayout w:type="fixed"/>
        <w:tblInd w:w="420" w:type="dxa"/>
        <w:tblCellMar>
          <w:top w:w="0" w:type="dxa"/>
          <w:left w:w="0" w:type="dxa"/>
          <w:bottom w:w="0" w:type="dxa"/>
          <w:right w:w="0" w:type="dxa"/>
        </w:tblCellMar>
      </w:tblPr>
      <w:tr>
        <w:trPr>
          <w:trHeight w:val="218"/>
        </w:trPr>
        <w:tc>
          <w:tcPr>
            <w:tcW w:w="2660" w:type="dxa"/>
            <w:vAlign w:val="bottom"/>
            <w:vMerge w:val="restart"/>
            <w:shd w:val="clear" w:color="auto" w:fill="1B0088"/>
          </w:tcPr>
          <w:p>
            <w:pPr>
              <w:ind w:left="760"/>
              <w:spacing w:after="0"/>
              <w:rPr>
                <w:sz w:val="20"/>
                <w:szCs w:val="20"/>
                <w:color w:val="auto"/>
              </w:rPr>
            </w:pPr>
            <w:r>
              <w:rPr>
                <w:rFonts w:ascii="Arial" w:cs="Arial" w:eastAsia="Arial" w:hAnsi="Arial"/>
                <w:sz w:val="19"/>
                <w:szCs w:val="19"/>
                <w:color w:val="FFFFFF"/>
              </w:rPr>
              <w:t>Debt Composition</w:t>
            </w:r>
          </w:p>
        </w:tc>
        <w:tc>
          <w:tcPr>
            <w:tcW w:w="2360" w:type="dxa"/>
            <w:vAlign w:val="bottom"/>
            <w:vMerge w:val="restart"/>
            <w:shd w:val="clear" w:color="auto" w:fill="1B0088"/>
          </w:tcPr>
          <w:p>
            <w:pPr>
              <w:jc w:val="center"/>
              <w:ind w:left="86"/>
              <w:spacing w:after="0"/>
              <w:rPr>
                <w:sz w:val="20"/>
                <w:szCs w:val="20"/>
                <w:color w:val="auto"/>
              </w:rPr>
            </w:pPr>
            <w:r>
              <w:rPr>
                <w:rFonts w:ascii="Arial" w:cs="Arial" w:eastAsia="Arial" w:hAnsi="Arial"/>
                <w:sz w:val="19"/>
                <w:szCs w:val="19"/>
                <w:color w:val="FFFFFF"/>
                <w:w w:val="99"/>
              </w:rPr>
              <w:t>Nominal Debt (million)</w:t>
            </w:r>
          </w:p>
        </w:tc>
        <w:tc>
          <w:tcPr>
            <w:tcW w:w="1780" w:type="dxa"/>
            <w:vAlign w:val="bottom"/>
            <w:shd w:val="clear" w:color="auto" w:fill="1B0088"/>
          </w:tcPr>
          <w:p>
            <w:pPr>
              <w:jc w:val="center"/>
              <w:spacing w:after="0"/>
              <w:rPr>
                <w:sz w:val="20"/>
                <w:szCs w:val="20"/>
                <w:color w:val="auto"/>
              </w:rPr>
            </w:pPr>
            <w:r>
              <w:rPr>
                <w:rFonts w:ascii="Arial" w:cs="Arial" w:eastAsia="Arial" w:hAnsi="Arial"/>
                <w:sz w:val="19"/>
                <w:szCs w:val="19"/>
                <w:color w:val="FFFFFF"/>
                <w:w w:val="98"/>
              </w:rPr>
              <w:t>Accounting Debt</w:t>
            </w:r>
          </w:p>
        </w:tc>
        <w:tc>
          <w:tcPr>
            <w:tcW w:w="2340" w:type="dxa"/>
            <w:vAlign w:val="bottom"/>
            <w:vMerge w:val="restart"/>
            <w:shd w:val="clear" w:color="auto" w:fill="1B0088"/>
          </w:tcPr>
          <w:p>
            <w:pPr>
              <w:jc w:val="center"/>
              <w:spacing w:after="0"/>
              <w:rPr>
                <w:sz w:val="20"/>
                <w:szCs w:val="20"/>
                <w:color w:val="auto"/>
              </w:rPr>
            </w:pPr>
            <w:r>
              <w:rPr>
                <w:rFonts w:ascii="Arial" w:cs="Arial" w:eastAsia="Arial" w:hAnsi="Arial"/>
                <w:sz w:val="19"/>
                <w:szCs w:val="19"/>
                <w:color w:val="FFFFFF"/>
                <w:w w:val="99"/>
              </w:rPr>
              <w:t>Interest Rate</w:t>
            </w:r>
          </w:p>
        </w:tc>
        <w:tc>
          <w:tcPr>
            <w:tcW w:w="1280" w:type="dxa"/>
            <w:vAlign w:val="bottom"/>
            <w:vMerge w:val="restart"/>
            <w:shd w:val="clear" w:color="auto" w:fill="1B0088"/>
          </w:tcPr>
          <w:p>
            <w:pPr>
              <w:ind w:left="260"/>
              <w:spacing w:after="0"/>
              <w:rPr>
                <w:sz w:val="20"/>
                <w:szCs w:val="20"/>
                <w:color w:val="auto"/>
              </w:rPr>
            </w:pPr>
            <w:r>
              <w:rPr>
                <w:rFonts w:ascii="Arial" w:cs="Arial" w:eastAsia="Arial" w:hAnsi="Arial"/>
                <w:sz w:val="19"/>
                <w:szCs w:val="19"/>
                <w:color w:val="FFFFFF"/>
              </w:rPr>
              <w:t>Maturity</w:t>
            </w:r>
          </w:p>
        </w:tc>
        <w:tc>
          <w:tcPr>
            <w:tcW w:w="0" w:type="dxa"/>
            <w:vAlign w:val="bottom"/>
          </w:tcPr>
          <w:p>
            <w:pPr>
              <w:spacing w:after="0"/>
              <w:rPr>
                <w:sz w:val="1"/>
                <w:szCs w:val="1"/>
                <w:color w:val="auto"/>
              </w:rPr>
            </w:pPr>
          </w:p>
        </w:tc>
      </w:tr>
      <w:tr>
        <w:trPr>
          <w:trHeight w:val="154"/>
        </w:trPr>
        <w:tc>
          <w:tcPr>
            <w:tcW w:w="2660" w:type="dxa"/>
            <w:vAlign w:val="bottom"/>
            <w:vMerge w:val="continue"/>
            <w:shd w:val="clear" w:color="auto" w:fill="1B0088"/>
          </w:tcPr>
          <w:p>
            <w:pPr>
              <w:spacing w:after="0"/>
              <w:rPr>
                <w:sz w:val="13"/>
                <w:szCs w:val="13"/>
                <w:color w:val="auto"/>
              </w:rPr>
            </w:pPr>
          </w:p>
        </w:tc>
        <w:tc>
          <w:tcPr>
            <w:tcW w:w="2360" w:type="dxa"/>
            <w:vAlign w:val="bottom"/>
            <w:vMerge w:val="continue"/>
            <w:shd w:val="clear" w:color="auto" w:fill="1B0088"/>
          </w:tcPr>
          <w:p>
            <w:pPr>
              <w:spacing w:after="0"/>
              <w:rPr>
                <w:sz w:val="13"/>
                <w:szCs w:val="13"/>
                <w:color w:val="auto"/>
              </w:rPr>
            </w:pPr>
          </w:p>
        </w:tc>
        <w:tc>
          <w:tcPr>
            <w:tcW w:w="1780" w:type="dxa"/>
            <w:vAlign w:val="bottom"/>
            <w:vMerge w:val="restart"/>
            <w:shd w:val="clear" w:color="auto" w:fill="1B0088"/>
          </w:tcPr>
          <w:p>
            <w:pPr>
              <w:jc w:val="center"/>
              <w:spacing w:after="0"/>
              <w:rPr>
                <w:sz w:val="20"/>
                <w:szCs w:val="20"/>
                <w:color w:val="auto"/>
              </w:rPr>
            </w:pPr>
            <w:r>
              <w:rPr>
                <w:rFonts w:ascii="Arial" w:cs="Arial" w:eastAsia="Arial" w:hAnsi="Arial"/>
                <w:sz w:val="19"/>
                <w:szCs w:val="19"/>
                <w:color w:val="FFFFFF"/>
                <w:w w:val="99"/>
              </w:rPr>
              <w:t>(million)</w:t>
            </w:r>
          </w:p>
        </w:tc>
        <w:tc>
          <w:tcPr>
            <w:tcW w:w="2340" w:type="dxa"/>
            <w:vAlign w:val="bottom"/>
            <w:vMerge w:val="continue"/>
            <w:shd w:val="clear" w:color="auto" w:fill="1B0088"/>
          </w:tcPr>
          <w:p>
            <w:pPr>
              <w:spacing w:after="0"/>
              <w:rPr>
                <w:sz w:val="13"/>
                <w:szCs w:val="13"/>
                <w:color w:val="auto"/>
              </w:rPr>
            </w:pPr>
          </w:p>
        </w:tc>
        <w:tc>
          <w:tcPr>
            <w:tcW w:w="1280" w:type="dxa"/>
            <w:vAlign w:val="bottom"/>
            <w:vMerge w:val="continue"/>
            <w:shd w:val="clear" w:color="auto" w:fill="1B0088"/>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660" w:type="dxa"/>
            <w:vAlign w:val="bottom"/>
            <w:shd w:val="clear" w:color="auto" w:fill="1B0088"/>
          </w:tcPr>
          <w:p>
            <w:pPr>
              <w:spacing w:after="0"/>
              <w:rPr>
                <w:sz w:val="7"/>
                <w:szCs w:val="7"/>
                <w:color w:val="auto"/>
              </w:rPr>
            </w:pPr>
          </w:p>
        </w:tc>
        <w:tc>
          <w:tcPr>
            <w:tcW w:w="2360" w:type="dxa"/>
            <w:vAlign w:val="bottom"/>
            <w:shd w:val="clear" w:color="auto" w:fill="1B0088"/>
          </w:tcPr>
          <w:p>
            <w:pPr>
              <w:spacing w:after="0"/>
              <w:rPr>
                <w:sz w:val="7"/>
                <w:szCs w:val="7"/>
                <w:color w:val="auto"/>
              </w:rPr>
            </w:pPr>
          </w:p>
        </w:tc>
        <w:tc>
          <w:tcPr>
            <w:tcW w:w="1780" w:type="dxa"/>
            <w:vAlign w:val="bottom"/>
            <w:vMerge w:val="continue"/>
            <w:shd w:val="clear" w:color="auto" w:fill="1B0088"/>
          </w:tcPr>
          <w:p>
            <w:pPr>
              <w:spacing w:after="0"/>
              <w:rPr>
                <w:sz w:val="7"/>
                <w:szCs w:val="7"/>
                <w:color w:val="auto"/>
              </w:rPr>
            </w:pPr>
          </w:p>
        </w:tc>
        <w:tc>
          <w:tcPr>
            <w:tcW w:w="2340" w:type="dxa"/>
            <w:vAlign w:val="bottom"/>
            <w:shd w:val="clear" w:color="auto" w:fill="1B0088"/>
          </w:tcPr>
          <w:p>
            <w:pPr>
              <w:spacing w:after="0"/>
              <w:rPr>
                <w:sz w:val="7"/>
                <w:szCs w:val="7"/>
                <w:color w:val="auto"/>
              </w:rPr>
            </w:pPr>
          </w:p>
        </w:tc>
        <w:tc>
          <w:tcPr>
            <w:tcW w:w="1280" w:type="dxa"/>
            <w:vAlign w:val="bottom"/>
            <w:shd w:val="clear" w:color="auto" w:fill="1B0088"/>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660" w:type="dxa"/>
            <w:vAlign w:val="bottom"/>
          </w:tcPr>
          <w:p>
            <w:pPr>
              <w:ind w:left="20"/>
              <w:spacing w:after="0"/>
              <w:rPr>
                <w:sz w:val="20"/>
                <w:szCs w:val="20"/>
                <w:color w:val="auto"/>
              </w:rPr>
            </w:pPr>
            <w:r>
              <w:rPr>
                <w:rFonts w:ascii="Arial" w:cs="Arial" w:eastAsia="Arial" w:hAnsi="Arial"/>
                <w:sz w:val="19"/>
                <w:szCs w:val="19"/>
                <w:color w:val="auto"/>
              </w:rPr>
              <w:t>2030 Senior Secured Notes</w:t>
            </w:r>
          </w:p>
        </w:tc>
        <w:tc>
          <w:tcPr>
            <w:tcW w:w="2360" w:type="dxa"/>
            <w:vAlign w:val="bottom"/>
          </w:tcPr>
          <w:p>
            <w:pPr>
              <w:jc w:val="center"/>
              <w:ind w:left="66"/>
              <w:spacing w:after="0"/>
              <w:rPr>
                <w:sz w:val="20"/>
                <w:szCs w:val="20"/>
                <w:color w:val="auto"/>
              </w:rPr>
            </w:pPr>
            <w:r>
              <w:rPr>
                <w:rFonts w:ascii="Arial" w:cs="Arial" w:eastAsia="Arial" w:hAnsi="Arial"/>
                <w:sz w:val="19"/>
                <w:szCs w:val="19"/>
                <w:color w:val="auto"/>
                <w:w w:val="99"/>
              </w:rPr>
              <w:t>US$1,400</w:t>
            </w:r>
          </w:p>
        </w:tc>
        <w:tc>
          <w:tcPr>
            <w:tcW w:w="1780" w:type="dxa"/>
            <w:vAlign w:val="bottom"/>
          </w:tcPr>
          <w:p>
            <w:pPr>
              <w:jc w:val="center"/>
              <w:spacing w:after="0"/>
              <w:rPr>
                <w:sz w:val="20"/>
                <w:szCs w:val="20"/>
                <w:color w:val="auto"/>
              </w:rPr>
            </w:pPr>
            <w:r>
              <w:rPr>
                <w:rFonts w:ascii="Arial" w:cs="Arial" w:eastAsia="Arial" w:hAnsi="Arial"/>
                <w:sz w:val="19"/>
                <w:szCs w:val="19"/>
                <w:color w:val="auto"/>
                <w:w w:val="99"/>
              </w:rPr>
              <w:t>US$1,427</w:t>
            </w:r>
          </w:p>
        </w:tc>
        <w:tc>
          <w:tcPr>
            <w:tcW w:w="2340" w:type="dxa"/>
            <w:vAlign w:val="bottom"/>
          </w:tcPr>
          <w:p>
            <w:pPr>
              <w:jc w:val="center"/>
              <w:spacing w:after="0"/>
              <w:rPr>
                <w:sz w:val="20"/>
                <w:szCs w:val="20"/>
                <w:color w:val="auto"/>
              </w:rPr>
            </w:pPr>
            <w:r>
              <w:rPr>
                <w:rFonts w:ascii="Arial" w:cs="Arial" w:eastAsia="Arial" w:hAnsi="Arial"/>
                <w:sz w:val="19"/>
                <w:szCs w:val="19"/>
                <w:color w:val="auto"/>
                <w:w w:val="99"/>
              </w:rPr>
              <w:t>7.875%</w:t>
            </w:r>
          </w:p>
        </w:tc>
        <w:tc>
          <w:tcPr>
            <w:tcW w:w="1280" w:type="dxa"/>
            <w:vAlign w:val="bottom"/>
          </w:tcPr>
          <w:p>
            <w:pPr>
              <w:jc w:val="center"/>
              <w:ind w:right="2"/>
              <w:spacing w:after="0"/>
              <w:rPr>
                <w:sz w:val="20"/>
                <w:szCs w:val="20"/>
                <w:color w:val="auto"/>
              </w:rPr>
            </w:pPr>
            <w:r>
              <w:rPr>
                <w:rFonts w:ascii="Arial" w:cs="Arial" w:eastAsia="Arial" w:hAnsi="Arial"/>
                <w:sz w:val="19"/>
                <w:szCs w:val="19"/>
                <w:color w:val="auto"/>
                <w:w w:val="99"/>
              </w:rPr>
              <w:t>2030</w:t>
            </w:r>
          </w:p>
        </w:tc>
        <w:tc>
          <w:tcPr>
            <w:tcW w:w="0" w:type="dxa"/>
            <w:vAlign w:val="bottom"/>
          </w:tcPr>
          <w:p>
            <w:pPr>
              <w:spacing w:after="0"/>
              <w:rPr>
                <w:sz w:val="1"/>
                <w:szCs w:val="1"/>
                <w:color w:val="auto"/>
              </w:rPr>
            </w:pPr>
          </w:p>
        </w:tc>
      </w:tr>
      <w:tr>
        <w:trPr>
          <w:trHeight w:val="243"/>
        </w:trPr>
        <w:tc>
          <w:tcPr>
            <w:tcW w:w="2660" w:type="dxa"/>
            <w:vAlign w:val="bottom"/>
          </w:tcPr>
          <w:p>
            <w:pPr>
              <w:ind w:left="20"/>
              <w:spacing w:after="0"/>
              <w:rPr>
                <w:sz w:val="20"/>
                <w:szCs w:val="20"/>
                <w:color w:val="auto"/>
              </w:rPr>
            </w:pPr>
            <w:r>
              <w:rPr>
                <w:rFonts w:ascii="Arial" w:cs="Arial" w:eastAsia="Arial" w:hAnsi="Arial"/>
                <w:sz w:val="19"/>
                <w:szCs w:val="19"/>
                <w:color w:val="auto"/>
              </w:rPr>
              <w:t>2031 Senior Secured Notes</w:t>
            </w:r>
          </w:p>
        </w:tc>
        <w:tc>
          <w:tcPr>
            <w:tcW w:w="2360" w:type="dxa"/>
            <w:vAlign w:val="bottom"/>
          </w:tcPr>
          <w:p>
            <w:pPr>
              <w:jc w:val="center"/>
              <w:ind w:left="66"/>
              <w:spacing w:after="0"/>
              <w:rPr>
                <w:sz w:val="20"/>
                <w:szCs w:val="20"/>
                <w:color w:val="auto"/>
              </w:rPr>
            </w:pPr>
            <w:r>
              <w:rPr>
                <w:rFonts w:ascii="Arial" w:cs="Arial" w:eastAsia="Arial" w:hAnsi="Arial"/>
                <w:sz w:val="19"/>
                <w:szCs w:val="19"/>
                <w:color w:val="auto"/>
                <w:w w:val="98"/>
              </w:rPr>
              <w:t>US$800</w:t>
            </w:r>
          </w:p>
        </w:tc>
        <w:tc>
          <w:tcPr>
            <w:tcW w:w="1780" w:type="dxa"/>
            <w:vAlign w:val="bottom"/>
          </w:tcPr>
          <w:p>
            <w:pPr>
              <w:jc w:val="center"/>
              <w:spacing w:after="0"/>
              <w:rPr>
                <w:sz w:val="20"/>
                <w:szCs w:val="20"/>
                <w:color w:val="auto"/>
              </w:rPr>
            </w:pPr>
            <w:r>
              <w:rPr>
                <w:rFonts w:ascii="Arial" w:cs="Arial" w:eastAsia="Arial" w:hAnsi="Arial"/>
                <w:sz w:val="19"/>
                <w:szCs w:val="19"/>
                <w:color w:val="auto"/>
                <w:w w:val="98"/>
              </w:rPr>
              <w:t>US$800</w:t>
            </w:r>
          </w:p>
        </w:tc>
        <w:tc>
          <w:tcPr>
            <w:tcW w:w="2340" w:type="dxa"/>
            <w:vAlign w:val="bottom"/>
          </w:tcPr>
          <w:p>
            <w:pPr>
              <w:jc w:val="center"/>
              <w:spacing w:after="0"/>
              <w:rPr>
                <w:sz w:val="20"/>
                <w:szCs w:val="20"/>
                <w:color w:val="auto"/>
              </w:rPr>
            </w:pPr>
            <w:r>
              <w:rPr>
                <w:rFonts w:ascii="Arial" w:cs="Arial" w:eastAsia="Arial" w:hAnsi="Arial"/>
                <w:sz w:val="19"/>
                <w:szCs w:val="19"/>
                <w:color w:val="auto"/>
                <w:w w:val="99"/>
              </w:rPr>
              <w:t>7.625%</w:t>
            </w:r>
          </w:p>
        </w:tc>
        <w:tc>
          <w:tcPr>
            <w:tcW w:w="1280" w:type="dxa"/>
            <w:vAlign w:val="bottom"/>
          </w:tcPr>
          <w:p>
            <w:pPr>
              <w:jc w:val="center"/>
              <w:ind w:right="2"/>
              <w:spacing w:after="0"/>
              <w:rPr>
                <w:sz w:val="20"/>
                <w:szCs w:val="20"/>
                <w:color w:val="auto"/>
              </w:rPr>
            </w:pPr>
            <w:r>
              <w:rPr>
                <w:rFonts w:ascii="Arial" w:cs="Arial" w:eastAsia="Arial" w:hAnsi="Arial"/>
                <w:sz w:val="19"/>
                <w:szCs w:val="19"/>
                <w:color w:val="auto"/>
                <w:w w:val="99"/>
              </w:rPr>
              <w:t>2031</w:t>
            </w:r>
          </w:p>
        </w:tc>
        <w:tc>
          <w:tcPr>
            <w:tcW w:w="0" w:type="dxa"/>
            <w:vAlign w:val="bottom"/>
          </w:tcPr>
          <w:p>
            <w:pPr>
              <w:spacing w:after="0"/>
              <w:rPr>
                <w:sz w:val="1"/>
                <w:szCs w:val="1"/>
                <w:color w:val="auto"/>
              </w:rPr>
            </w:pPr>
          </w:p>
        </w:tc>
      </w:tr>
      <w:tr>
        <w:trPr>
          <w:trHeight w:val="243"/>
        </w:trPr>
        <w:tc>
          <w:tcPr>
            <w:tcW w:w="2660" w:type="dxa"/>
            <w:vAlign w:val="bottom"/>
          </w:tcPr>
          <w:p>
            <w:pPr>
              <w:ind w:left="20"/>
              <w:spacing w:after="0"/>
              <w:rPr>
                <w:sz w:val="20"/>
                <w:szCs w:val="20"/>
                <w:color w:val="auto"/>
              </w:rPr>
            </w:pPr>
            <w:r>
              <w:rPr>
                <w:rFonts w:ascii="Arial" w:cs="Arial" w:eastAsia="Arial" w:hAnsi="Arial"/>
                <w:sz w:val="19"/>
                <w:szCs w:val="19"/>
                <w:color w:val="auto"/>
              </w:rPr>
              <w:t>Spare Engine Facility</w:t>
            </w:r>
          </w:p>
        </w:tc>
        <w:tc>
          <w:tcPr>
            <w:tcW w:w="2360" w:type="dxa"/>
            <w:vAlign w:val="bottom"/>
          </w:tcPr>
          <w:p>
            <w:pPr>
              <w:jc w:val="center"/>
              <w:ind w:left="66"/>
              <w:spacing w:after="0"/>
              <w:rPr>
                <w:sz w:val="20"/>
                <w:szCs w:val="20"/>
                <w:color w:val="auto"/>
              </w:rPr>
            </w:pPr>
            <w:r>
              <w:rPr>
                <w:rFonts w:ascii="Arial" w:cs="Arial" w:eastAsia="Arial" w:hAnsi="Arial"/>
                <w:sz w:val="19"/>
                <w:szCs w:val="19"/>
                <w:color w:val="auto"/>
                <w:w w:val="98"/>
              </w:rPr>
              <w:t>US$275</w:t>
            </w:r>
          </w:p>
        </w:tc>
        <w:tc>
          <w:tcPr>
            <w:tcW w:w="1780" w:type="dxa"/>
            <w:vAlign w:val="bottom"/>
          </w:tcPr>
          <w:p>
            <w:pPr>
              <w:jc w:val="center"/>
              <w:spacing w:after="0"/>
              <w:rPr>
                <w:sz w:val="20"/>
                <w:szCs w:val="20"/>
                <w:color w:val="auto"/>
              </w:rPr>
            </w:pPr>
            <w:r>
              <w:rPr>
                <w:rFonts w:ascii="Arial" w:cs="Arial" w:eastAsia="Arial" w:hAnsi="Arial"/>
                <w:sz w:val="19"/>
                <w:szCs w:val="19"/>
                <w:color w:val="auto"/>
                <w:w w:val="98"/>
              </w:rPr>
              <w:t>US$276</w:t>
            </w:r>
          </w:p>
        </w:tc>
        <w:tc>
          <w:tcPr>
            <w:tcW w:w="2340" w:type="dxa"/>
            <w:vAlign w:val="bottom"/>
          </w:tcPr>
          <w:p>
            <w:pPr>
              <w:jc w:val="center"/>
              <w:spacing w:after="0"/>
              <w:rPr>
                <w:sz w:val="20"/>
                <w:szCs w:val="20"/>
                <w:color w:val="auto"/>
              </w:rPr>
            </w:pPr>
            <w:r>
              <w:rPr>
                <w:rFonts w:ascii="Arial" w:cs="Arial" w:eastAsia="Arial" w:hAnsi="Arial"/>
                <w:sz w:val="18"/>
                <w:szCs w:val="18"/>
                <w:color w:val="auto"/>
                <w:w w:val="98"/>
              </w:rPr>
              <w:t>Term SOFR 3M + 2.1%</w:t>
            </w:r>
          </w:p>
        </w:tc>
        <w:tc>
          <w:tcPr>
            <w:tcW w:w="1280" w:type="dxa"/>
            <w:vAlign w:val="bottom"/>
          </w:tcPr>
          <w:p>
            <w:pPr>
              <w:jc w:val="center"/>
              <w:ind w:right="2"/>
              <w:spacing w:after="0"/>
              <w:rPr>
                <w:sz w:val="20"/>
                <w:szCs w:val="20"/>
                <w:color w:val="auto"/>
              </w:rPr>
            </w:pPr>
            <w:r>
              <w:rPr>
                <w:rFonts w:ascii="Arial" w:cs="Arial" w:eastAsia="Arial" w:hAnsi="Arial"/>
                <w:sz w:val="19"/>
                <w:szCs w:val="19"/>
                <w:color w:val="auto"/>
                <w:w w:val="99"/>
              </w:rPr>
              <w:t>2028</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9"/>
                <w:szCs w:val="19"/>
                <w:color w:val="auto"/>
              </w:rPr>
              <w:t>UF Bond</w:t>
            </w:r>
          </w:p>
        </w:tc>
        <w:tc>
          <w:tcPr>
            <w:tcW w:w="2360" w:type="dxa"/>
            <w:vAlign w:val="bottom"/>
          </w:tcPr>
          <w:p>
            <w:pPr>
              <w:jc w:val="center"/>
              <w:ind w:left="66"/>
              <w:spacing w:after="0"/>
              <w:rPr>
                <w:sz w:val="20"/>
                <w:szCs w:val="20"/>
                <w:color w:val="auto"/>
              </w:rPr>
            </w:pPr>
            <w:r>
              <w:rPr>
                <w:rFonts w:ascii="Arial" w:cs="Arial" w:eastAsia="Arial" w:hAnsi="Arial"/>
                <w:sz w:val="19"/>
                <w:szCs w:val="19"/>
                <w:color w:val="auto"/>
                <w:w w:val="98"/>
              </w:rPr>
              <w:t>US$161</w:t>
            </w:r>
          </w:p>
        </w:tc>
        <w:tc>
          <w:tcPr>
            <w:tcW w:w="1780" w:type="dxa"/>
            <w:vAlign w:val="bottom"/>
          </w:tcPr>
          <w:p>
            <w:pPr>
              <w:jc w:val="center"/>
              <w:spacing w:after="0"/>
              <w:rPr>
                <w:sz w:val="20"/>
                <w:szCs w:val="20"/>
                <w:color w:val="auto"/>
              </w:rPr>
            </w:pPr>
            <w:r>
              <w:rPr>
                <w:rFonts w:ascii="Arial" w:cs="Arial" w:eastAsia="Arial" w:hAnsi="Arial"/>
                <w:sz w:val="19"/>
                <w:szCs w:val="19"/>
                <w:color w:val="auto"/>
                <w:w w:val="98"/>
              </w:rPr>
              <w:t>US$163</w:t>
            </w:r>
          </w:p>
        </w:tc>
        <w:tc>
          <w:tcPr>
            <w:tcW w:w="2340" w:type="dxa"/>
            <w:vAlign w:val="bottom"/>
          </w:tcPr>
          <w:p>
            <w:pPr>
              <w:jc w:val="center"/>
              <w:spacing w:after="0"/>
              <w:rPr>
                <w:sz w:val="20"/>
                <w:szCs w:val="20"/>
                <w:color w:val="auto"/>
              </w:rPr>
            </w:pPr>
            <w:r>
              <w:rPr>
                <w:rFonts w:ascii="Arial" w:cs="Arial" w:eastAsia="Arial" w:hAnsi="Arial"/>
                <w:sz w:val="19"/>
                <w:szCs w:val="19"/>
                <w:color w:val="auto"/>
                <w:w w:val="99"/>
              </w:rPr>
              <w:t>UF + 2.0%</w:t>
            </w:r>
          </w:p>
        </w:tc>
        <w:tc>
          <w:tcPr>
            <w:tcW w:w="1280" w:type="dxa"/>
            <w:vAlign w:val="bottom"/>
          </w:tcPr>
          <w:p>
            <w:pPr>
              <w:jc w:val="center"/>
              <w:ind w:right="2"/>
              <w:spacing w:after="0"/>
              <w:rPr>
                <w:sz w:val="20"/>
                <w:szCs w:val="20"/>
                <w:color w:val="auto"/>
              </w:rPr>
            </w:pPr>
            <w:r>
              <w:rPr>
                <w:rFonts w:ascii="Arial" w:cs="Arial" w:eastAsia="Arial" w:hAnsi="Arial"/>
                <w:sz w:val="19"/>
                <w:szCs w:val="19"/>
                <w:color w:val="auto"/>
                <w:w w:val="99"/>
              </w:rPr>
              <w:t>2042</w:t>
            </w:r>
          </w:p>
        </w:tc>
        <w:tc>
          <w:tcPr>
            <w:tcW w:w="0" w:type="dxa"/>
            <w:vAlign w:val="bottom"/>
          </w:tcPr>
          <w:p>
            <w:pPr>
              <w:spacing w:after="0"/>
              <w:rPr>
                <w:sz w:val="1"/>
                <w:szCs w:val="1"/>
                <w:color w:val="auto"/>
              </w:rPr>
            </w:pPr>
          </w:p>
        </w:tc>
      </w:tr>
      <w:tr>
        <w:trPr>
          <w:trHeight w:val="283"/>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Fleet Financial Debt</w:t>
            </w:r>
          </w:p>
        </w:tc>
        <w:tc>
          <w:tcPr>
            <w:tcW w:w="2360" w:type="dxa"/>
            <w:vAlign w:val="bottom"/>
            <w:tcBorders>
              <w:bottom w:val="single" w:sz="8" w:color="auto"/>
            </w:tcBorders>
          </w:tcPr>
          <w:p>
            <w:pPr>
              <w:jc w:val="center"/>
              <w:ind w:left="66"/>
              <w:spacing w:after="0"/>
              <w:rPr>
                <w:sz w:val="20"/>
                <w:szCs w:val="20"/>
                <w:color w:val="auto"/>
              </w:rPr>
            </w:pPr>
            <w:r>
              <w:rPr>
                <w:rFonts w:ascii="Arial" w:cs="Arial" w:eastAsia="Arial" w:hAnsi="Arial"/>
                <w:sz w:val="19"/>
                <w:szCs w:val="19"/>
                <w:color w:val="auto"/>
                <w:w w:val="99"/>
              </w:rPr>
              <w:t>US$1,749</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9"/>
              </w:rPr>
              <w:t>US$1,749</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5.35%</w:t>
            </w:r>
          </w:p>
        </w:tc>
        <w:tc>
          <w:tcPr>
            <w:tcW w:w="1280" w:type="dxa"/>
            <w:vAlign w:val="bottom"/>
            <w:tcBorders>
              <w:bottom w:val="single" w:sz="8" w:color="auto"/>
            </w:tcBorders>
          </w:tcPr>
          <w:p>
            <w:pPr>
              <w:jc w:val="center"/>
              <w:ind w:right="2"/>
              <w:spacing w:after="0"/>
              <w:rPr>
                <w:sz w:val="20"/>
                <w:szCs w:val="20"/>
                <w:color w:val="auto"/>
              </w:rPr>
            </w:pPr>
            <w:r>
              <w:rPr>
                <w:rFonts w:ascii="Arial" w:cs="Arial" w:eastAsia="Arial" w:hAnsi="Arial"/>
                <w:sz w:val="22"/>
                <w:szCs w:val="22"/>
                <w:color w:val="auto"/>
                <w:w w:val="99"/>
              </w:rPr>
              <w:t>—</w:t>
            </w:r>
          </w:p>
        </w:tc>
        <w:tc>
          <w:tcPr>
            <w:tcW w:w="0" w:type="dxa"/>
            <w:vAlign w:val="bottom"/>
          </w:tcPr>
          <w:p>
            <w:pPr>
              <w:spacing w:after="0"/>
              <w:rPr>
                <w:sz w:val="1"/>
                <w:szCs w:val="1"/>
                <w:color w:val="auto"/>
              </w:rPr>
            </w:pPr>
          </w:p>
        </w:tc>
      </w:tr>
      <w:tr>
        <w:trPr>
          <w:trHeight w:val="291"/>
        </w:trPr>
        <w:tc>
          <w:tcPr>
            <w:tcW w:w="2660" w:type="dxa"/>
            <w:vAlign w:val="bottom"/>
          </w:tcPr>
          <w:p>
            <w:pPr>
              <w:ind w:left="20"/>
              <w:spacing w:after="0"/>
              <w:rPr>
                <w:sz w:val="20"/>
                <w:szCs w:val="20"/>
                <w:color w:val="auto"/>
              </w:rPr>
            </w:pPr>
            <w:r>
              <w:rPr>
                <w:rFonts w:ascii="Arial" w:cs="Arial" w:eastAsia="Arial" w:hAnsi="Arial"/>
                <w:sz w:val="19"/>
                <w:szCs w:val="19"/>
                <w:b w:val="1"/>
                <w:bCs w:val="1"/>
                <w:color w:val="auto"/>
              </w:rPr>
              <w:t>Total Financial Debt</w:t>
            </w:r>
          </w:p>
        </w:tc>
        <w:tc>
          <w:tcPr>
            <w:tcW w:w="2360" w:type="dxa"/>
            <w:vAlign w:val="bottom"/>
          </w:tcPr>
          <w:p>
            <w:pPr>
              <w:jc w:val="center"/>
              <w:ind w:left="66"/>
              <w:spacing w:after="0"/>
              <w:rPr>
                <w:sz w:val="20"/>
                <w:szCs w:val="20"/>
                <w:color w:val="auto"/>
              </w:rPr>
            </w:pPr>
            <w:r>
              <w:rPr>
                <w:rFonts w:ascii="Arial" w:cs="Arial" w:eastAsia="Arial" w:hAnsi="Arial"/>
                <w:sz w:val="19"/>
                <w:szCs w:val="19"/>
                <w:b w:val="1"/>
                <w:bCs w:val="1"/>
                <w:color w:val="auto"/>
                <w:w w:val="99"/>
              </w:rPr>
              <w:t>US$4,386</w:t>
            </w:r>
          </w:p>
        </w:tc>
        <w:tc>
          <w:tcPr>
            <w:tcW w:w="1780" w:type="dxa"/>
            <w:vAlign w:val="bottom"/>
          </w:tcPr>
          <w:p>
            <w:pPr>
              <w:jc w:val="center"/>
              <w:spacing w:after="0"/>
              <w:rPr>
                <w:sz w:val="20"/>
                <w:szCs w:val="20"/>
                <w:color w:val="auto"/>
              </w:rPr>
            </w:pPr>
            <w:r>
              <w:rPr>
                <w:rFonts w:ascii="Arial" w:cs="Arial" w:eastAsia="Arial" w:hAnsi="Arial"/>
                <w:sz w:val="19"/>
                <w:szCs w:val="19"/>
                <w:b w:val="1"/>
                <w:bCs w:val="1"/>
                <w:color w:val="auto"/>
                <w:w w:val="99"/>
              </w:rPr>
              <w:t>US$4,415</w:t>
            </w:r>
          </w:p>
        </w:tc>
        <w:tc>
          <w:tcPr>
            <w:tcW w:w="2340" w:type="dxa"/>
            <w:vAlign w:val="bottom"/>
          </w:tcPr>
          <w:p>
            <w:pPr>
              <w:jc w:val="center"/>
              <w:spacing w:after="0"/>
              <w:rPr>
                <w:sz w:val="20"/>
                <w:szCs w:val="20"/>
                <w:color w:val="auto"/>
              </w:rPr>
            </w:pPr>
            <w:r>
              <w:rPr>
                <w:rFonts w:ascii="Arial" w:cs="Arial" w:eastAsia="Arial" w:hAnsi="Arial"/>
                <w:sz w:val="19"/>
                <w:szCs w:val="19"/>
                <w:b w:val="1"/>
                <w:bCs w:val="1"/>
                <w:color w:val="auto"/>
                <w:w w:val="96"/>
              </w:rPr>
              <w:t>6.57%</w:t>
            </w:r>
          </w:p>
        </w:tc>
        <w:tc>
          <w:tcPr>
            <w:tcW w:w="1280" w:type="dxa"/>
            <w:vAlign w:val="bottom"/>
          </w:tcPr>
          <w:p>
            <w:pPr>
              <w:jc w:val="center"/>
              <w:ind w:right="2"/>
              <w:spacing w:after="0"/>
              <w:rPr>
                <w:sz w:val="20"/>
                <w:szCs w:val="20"/>
                <w:color w:val="auto"/>
              </w:rPr>
            </w:pPr>
            <w:r>
              <w:rPr>
                <w:rFonts w:ascii="Arial" w:cs="Arial" w:eastAsia="Arial" w:hAnsi="Arial"/>
                <w:sz w:val="22"/>
                <w:szCs w:val="22"/>
                <w:b w:val="1"/>
                <w:bCs w:val="1"/>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7F7F7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86359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63590" cy="6858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8" w:name="page9"/>
    <w:bookmarkEnd w:id="8"/>
    <w:p>
      <w:pPr>
        <w:ind w:left="140" w:right="10120"/>
        <w:spacing w:after="0" w:line="249" w:lineRule="auto"/>
        <w:rPr>
          <w:sz w:val="20"/>
          <w:szCs w:val="20"/>
          <w:color w:val="auto"/>
        </w:rPr>
      </w:pPr>
      <w:r>
        <w:rPr>
          <w:rFonts w:ascii="Arial" w:cs="Arial" w:eastAsia="Arial" w:hAnsi="Arial"/>
          <w:sz w:val="25"/>
          <w:szCs w:val="25"/>
          <w:i w:val="1"/>
          <w:i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5829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82930"/>
                    </a:xfrm>
                    <a:prstGeom prst="rect">
                      <a:avLst/>
                    </a:prstGeom>
                    <a:noFill/>
                  </pic:spPr>
                </pic:pic>
              </a:graphicData>
            </a:graphic>
          </wp:anchor>
        </w:drawing>
        <w:t>1Q 2026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1B0088"/>
        </w:rPr>
        <w:t>MARKET RISKS MANAGEMENT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1B0088"/>
        </w:rPr>
        <w:t>Fuel price risk</w:t>
      </w:r>
    </w:p>
    <w:p>
      <w:pPr>
        <w:spacing w:after="0" w:line="230"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LATAM’s fuel hedging policy has the main objective of protecting against medium-term liquidity risk from fuel price increases, while benefiting from fuel price reductions. It seeks to provide stability amid normalized volatility of jet fuel prices. Accordingly, LATAM hedges a portion of its estimated fuel consumption with a strategy based on the projected booking curve and pass-through capacity, managing this exposure over the next 12 months. LATAM hedges on jet fuel directly, via US Gulf Coast 54, utilizing asymmetric hedge instruments (generally capped collars) that provide protection within a limited range against higher prices, while allowing participation from declining fuel prices. During 1Q26, LATAM recognized gains of US$24.5 million for fuel hedging net of premiums (vs losses for US$2.2 million in 1Q25).</w:t>
      </w:r>
    </w:p>
    <w:p>
      <w:pPr>
        <w:spacing w:after="0" w:line="207"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All hedges contracted prior to the start of the conflict in the Middle East followed this asymmetric protection within a range through traditional hedging structures, such as capped collars. Given the context of abnormally elevated jet fuel prices and seeking additional protection from further elevated fuel prices, LATAM supplemented its hedge positions with additional short-term instruments for 2Q and 3Q of 2026, through call options that provide unlimited protection for scenarios of significantly elevated prices and additional shocks.</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auto"/>
        </w:rPr>
        <w:t>Hedge positions per quarter for the next 12 months, as of April 30, 2026, are shown in the table below:</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80" w:type="dxa"/>
            <w:vAlign w:val="bottom"/>
            <w:shd w:val="clear" w:color="auto" w:fill="1B0088"/>
          </w:tcPr>
          <w:p>
            <w:pPr>
              <w:ind w:left="20"/>
              <w:spacing w:after="0"/>
              <w:rPr>
                <w:sz w:val="20"/>
                <w:szCs w:val="20"/>
                <w:color w:val="auto"/>
              </w:rPr>
            </w:pPr>
            <w:r>
              <w:rPr>
                <w:rFonts w:ascii="Arial" w:cs="Arial" w:eastAsia="Arial" w:hAnsi="Arial"/>
                <w:sz w:val="19"/>
                <w:szCs w:val="19"/>
                <w:color w:val="FFFFFF"/>
              </w:rPr>
              <w:t>Fuel hedging</w:t>
            </w:r>
          </w:p>
        </w:tc>
        <w:tc>
          <w:tcPr>
            <w:tcW w:w="1660" w:type="dxa"/>
            <w:vAlign w:val="bottom"/>
            <w:shd w:val="clear" w:color="auto" w:fill="1B0088"/>
          </w:tcPr>
          <w:p>
            <w:pPr>
              <w:jc w:val="center"/>
              <w:ind w:left="226"/>
              <w:spacing w:after="0"/>
              <w:rPr>
                <w:sz w:val="20"/>
                <w:szCs w:val="20"/>
                <w:color w:val="auto"/>
              </w:rPr>
            </w:pPr>
            <w:r>
              <w:rPr>
                <w:rFonts w:ascii="Arial" w:cs="Arial" w:eastAsia="Arial" w:hAnsi="Arial"/>
                <w:sz w:val="19"/>
                <w:szCs w:val="19"/>
                <w:color w:val="FFFFFF"/>
                <w:w w:val="98"/>
              </w:rPr>
              <w:t>2Q26</w:t>
            </w:r>
          </w:p>
        </w:tc>
        <w:tc>
          <w:tcPr>
            <w:tcW w:w="1320" w:type="dxa"/>
            <w:vAlign w:val="bottom"/>
            <w:shd w:val="clear" w:color="auto" w:fill="1B0088"/>
          </w:tcPr>
          <w:p>
            <w:pPr>
              <w:jc w:val="center"/>
              <w:spacing w:after="0"/>
              <w:rPr>
                <w:sz w:val="20"/>
                <w:szCs w:val="20"/>
                <w:color w:val="auto"/>
              </w:rPr>
            </w:pPr>
            <w:r>
              <w:rPr>
                <w:rFonts w:ascii="Arial" w:cs="Arial" w:eastAsia="Arial" w:hAnsi="Arial"/>
                <w:sz w:val="19"/>
                <w:szCs w:val="19"/>
                <w:color w:val="FFFFFF"/>
                <w:w w:val="98"/>
              </w:rPr>
              <w:t>3Q26</w:t>
            </w:r>
          </w:p>
        </w:tc>
        <w:tc>
          <w:tcPr>
            <w:tcW w:w="1320" w:type="dxa"/>
            <w:vAlign w:val="bottom"/>
            <w:shd w:val="clear" w:color="auto" w:fill="1B0088"/>
          </w:tcPr>
          <w:p>
            <w:pPr>
              <w:jc w:val="center"/>
              <w:spacing w:after="0"/>
              <w:rPr>
                <w:sz w:val="20"/>
                <w:szCs w:val="20"/>
                <w:color w:val="auto"/>
              </w:rPr>
            </w:pPr>
            <w:r>
              <w:rPr>
                <w:rFonts w:ascii="Arial" w:cs="Arial" w:eastAsia="Arial" w:hAnsi="Arial"/>
                <w:sz w:val="19"/>
                <w:szCs w:val="19"/>
                <w:color w:val="FFFFFF"/>
                <w:w w:val="98"/>
              </w:rPr>
              <w:t>4Q26</w:t>
            </w:r>
          </w:p>
        </w:tc>
        <w:tc>
          <w:tcPr>
            <w:tcW w:w="1320" w:type="dxa"/>
            <w:vAlign w:val="bottom"/>
            <w:shd w:val="clear" w:color="auto" w:fill="1B0088"/>
          </w:tcPr>
          <w:p>
            <w:pPr>
              <w:jc w:val="center"/>
              <w:spacing w:after="0"/>
              <w:rPr>
                <w:sz w:val="20"/>
                <w:szCs w:val="20"/>
                <w:color w:val="auto"/>
              </w:rPr>
            </w:pPr>
            <w:r>
              <w:rPr>
                <w:rFonts w:ascii="Arial" w:cs="Arial" w:eastAsia="Arial" w:hAnsi="Arial"/>
                <w:sz w:val="19"/>
                <w:szCs w:val="19"/>
                <w:color w:val="FFFFFF"/>
                <w:w w:val="98"/>
              </w:rPr>
              <w:t>1Q27</w:t>
            </w:r>
          </w:p>
        </w:tc>
      </w:tr>
      <w:tr>
        <w:trPr>
          <w:trHeight w:val="243"/>
        </w:trPr>
        <w:tc>
          <w:tcPr>
            <w:tcW w:w="5580" w:type="dxa"/>
            <w:vAlign w:val="bottom"/>
          </w:tcPr>
          <w:p>
            <w:pPr>
              <w:ind w:left="20"/>
              <w:spacing w:after="0"/>
              <w:rPr>
                <w:sz w:val="20"/>
                <w:szCs w:val="20"/>
                <w:color w:val="auto"/>
              </w:rPr>
            </w:pPr>
            <w:r>
              <w:rPr>
                <w:rFonts w:ascii="Arial" w:cs="Arial" w:eastAsia="Arial" w:hAnsi="Arial"/>
                <w:sz w:val="19"/>
                <w:szCs w:val="19"/>
                <w:b w:val="1"/>
                <w:bCs w:val="1"/>
                <w:color w:val="auto"/>
              </w:rPr>
              <w:t>Hedges as percentage of estimated fuel consumption</w:t>
            </w:r>
          </w:p>
        </w:tc>
        <w:tc>
          <w:tcPr>
            <w:tcW w:w="16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9"/>
                <w:szCs w:val="19"/>
                <w:color w:val="auto"/>
              </w:rPr>
              <w:t>Hedges contracted before the conflict (collar structures)</w:t>
            </w:r>
            <w:r>
              <w:rPr>
                <w:rFonts w:ascii="Arial" w:cs="Arial" w:eastAsia="Arial" w:hAnsi="Arial"/>
                <w:sz w:val="12"/>
                <w:szCs w:val="12"/>
                <w:color w:val="auto"/>
              </w:rPr>
              <w:t>1</w:t>
            </w:r>
          </w:p>
        </w:tc>
        <w:tc>
          <w:tcPr>
            <w:tcW w:w="1660" w:type="dxa"/>
            <w:vAlign w:val="bottom"/>
          </w:tcPr>
          <w:p>
            <w:pPr>
              <w:jc w:val="center"/>
              <w:ind w:left="226"/>
              <w:spacing w:after="0"/>
              <w:rPr>
                <w:sz w:val="20"/>
                <w:szCs w:val="20"/>
                <w:color w:val="auto"/>
              </w:rPr>
            </w:pPr>
            <w:r>
              <w:rPr>
                <w:rFonts w:ascii="Arial" w:cs="Arial" w:eastAsia="Arial" w:hAnsi="Arial"/>
                <w:sz w:val="19"/>
                <w:szCs w:val="19"/>
                <w:color w:val="auto"/>
                <w:w w:val="99"/>
              </w:rPr>
              <w:t>44%</w:t>
            </w:r>
          </w:p>
        </w:tc>
        <w:tc>
          <w:tcPr>
            <w:tcW w:w="1320" w:type="dxa"/>
            <w:vAlign w:val="bottom"/>
          </w:tcPr>
          <w:p>
            <w:pPr>
              <w:jc w:val="center"/>
              <w:spacing w:after="0"/>
              <w:rPr>
                <w:sz w:val="20"/>
                <w:szCs w:val="20"/>
                <w:color w:val="auto"/>
              </w:rPr>
            </w:pPr>
            <w:r>
              <w:rPr>
                <w:rFonts w:ascii="Arial" w:cs="Arial" w:eastAsia="Arial" w:hAnsi="Arial"/>
                <w:sz w:val="19"/>
                <w:szCs w:val="19"/>
                <w:color w:val="auto"/>
                <w:w w:val="99"/>
              </w:rPr>
              <w:t>31%</w:t>
            </w:r>
          </w:p>
        </w:tc>
        <w:tc>
          <w:tcPr>
            <w:tcW w:w="1320" w:type="dxa"/>
            <w:vAlign w:val="bottom"/>
          </w:tcPr>
          <w:p>
            <w:pPr>
              <w:jc w:val="center"/>
              <w:spacing w:after="0"/>
              <w:rPr>
                <w:sz w:val="20"/>
                <w:szCs w:val="20"/>
                <w:color w:val="auto"/>
              </w:rPr>
            </w:pPr>
            <w:r>
              <w:rPr>
                <w:rFonts w:ascii="Arial" w:cs="Arial" w:eastAsia="Arial" w:hAnsi="Arial"/>
                <w:sz w:val="19"/>
                <w:szCs w:val="19"/>
                <w:color w:val="auto"/>
                <w:w w:val="99"/>
              </w:rPr>
              <w:t>22%</w:t>
            </w:r>
          </w:p>
        </w:tc>
        <w:tc>
          <w:tcPr>
            <w:tcW w:w="1320" w:type="dxa"/>
            <w:vAlign w:val="bottom"/>
          </w:tcPr>
          <w:p>
            <w:pPr>
              <w:jc w:val="center"/>
              <w:spacing w:after="0"/>
              <w:rPr>
                <w:sz w:val="20"/>
                <w:szCs w:val="20"/>
                <w:color w:val="auto"/>
              </w:rPr>
            </w:pPr>
            <w:r>
              <w:rPr>
                <w:rFonts w:ascii="Arial" w:cs="Arial" w:eastAsia="Arial" w:hAnsi="Arial"/>
                <w:sz w:val="19"/>
                <w:szCs w:val="19"/>
                <w:color w:val="auto"/>
              </w:rPr>
              <w:t>5%</w:t>
            </w:r>
          </w:p>
        </w:tc>
      </w:tr>
      <w:tr>
        <w:trPr>
          <w:trHeight w:val="243"/>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Hedges contracted after the conflict (call options)</w:t>
            </w:r>
            <w:r>
              <w:rPr>
                <w:rFonts w:ascii="Arial" w:cs="Arial" w:eastAsia="Arial" w:hAnsi="Arial"/>
                <w:sz w:val="12"/>
                <w:szCs w:val="12"/>
                <w:color w:val="auto"/>
              </w:rPr>
              <w:t>2</w:t>
            </w:r>
          </w:p>
        </w:tc>
        <w:tc>
          <w:tcPr>
            <w:tcW w:w="1660" w:type="dxa"/>
            <w:vAlign w:val="bottom"/>
            <w:tcBorders>
              <w:bottom w:val="single" w:sz="8" w:color="auto"/>
            </w:tcBorders>
          </w:tcPr>
          <w:p>
            <w:pPr>
              <w:jc w:val="center"/>
              <w:ind w:left="226"/>
              <w:spacing w:after="0"/>
              <w:rPr>
                <w:sz w:val="20"/>
                <w:szCs w:val="20"/>
                <w:color w:val="auto"/>
              </w:rPr>
            </w:pPr>
            <w:r>
              <w:rPr>
                <w:rFonts w:ascii="Arial" w:cs="Arial" w:eastAsia="Arial" w:hAnsi="Arial"/>
                <w:sz w:val="19"/>
                <w:szCs w:val="19"/>
                <w:color w:val="auto"/>
                <w:w w:val="99"/>
              </w:rPr>
              <w:t>16%</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4"/>
              </w:rPr>
              <w:t>8%</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0%</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0%</w:t>
            </w:r>
          </w:p>
        </w:tc>
      </w:tr>
      <w:tr>
        <w:trPr>
          <w:trHeight w:val="253"/>
        </w:trPr>
        <w:tc>
          <w:tcPr>
            <w:tcW w:w="5580" w:type="dxa"/>
            <w:vAlign w:val="bottom"/>
          </w:tcPr>
          <w:p>
            <w:pPr>
              <w:ind w:left="20"/>
              <w:spacing w:after="0"/>
              <w:rPr>
                <w:sz w:val="20"/>
                <w:szCs w:val="20"/>
                <w:color w:val="auto"/>
              </w:rPr>
            </w:pPr>
            <w:r>
              <w:rPr>
                <w:rFonts w:ascii="Arial" w:cs="Arial" w:eastAsia="Arial" w:hAnsi="Arial"/>
                <w:sz w:val="19"/>
                <w:szCs w:val="19"/>
                <w:b w:val="1"/>
                <w:bCs w:val="1"/>
                <w:color w:val="auto"/>
              </w:rPr>
              <w:t>Total estimated fuel consumption hedged</w:t>
            </w:r>
          </w:p>
        </w:tc>
        <w:tc>
          <w:tcPr>
            <w:tcW w:w="1660" w:type="dxa"/>
            <w:vAlign w:val="bottom"/>
          </w:tcPr>
          <w:p>
            <w:pPr>
              <w:jc w:val="center"/>
              <w:ind w:left="226"/>
              <w:spacing w:after="0"/>
              <w:rPr>
                <w:sz w:val="20"/>
                <w:szCs w:val="20"/>
                <w:color w:val="auto"/>
              </w:rPr>
            </w:pPr>
            <w:r>
              <w:rPr>
                <w:rFonts w:ascii="Arial" w:cs="Arial" w:eastAsia="Arial" w:hAnsi="Arial"/>
                <w:sz w:val="19"/>
                <w:szCs w:val="19"/>
                <w:b w:val="1"/>
                <w:bCs w:val="1"/>
                <w:color w:val="auto"/>
                <w:w w:val="99"/>
              </w:rPr>
              <w:t>60%</w:t>
            </w:r>
          </w:p>
        </w:tc>
        <w:tc>
          <w:tcPr>
            <w:tcW w:w="1320" w:type="dxa"/>
            <w:vAlign w:val="bottom"/>
          </w:tcPr>
          <w:p>
            <w:pPr>
              <w:jc w:val="center"/>
              <w:spacing w:after="0"/>
              <w:rPr>
                <w:sz w:val="20"/>
                <w:szCs w:val="20"/>
                <w:color w:val="auto"/>
              </w:rPr>
            </w:pPr>
            <w:r>
              <w:rPr>
                <w:rFonts w:ascii="Arial" w:cs="Arial" w:eastAsia="Arial" w:hAnsi="Arial"/>
                <w:sz w:val="19"/>
                <w:szCs w:val="19"/>
                <w:b w:val="1"/>
                <w:bCs w:val="1"/>
                <w:color w:val="auto"/>
                <w:w w:val="99"/>
              </w:rPr>
              <w:t>39%</w:t>
            </w:r>
          </w:p>
        </w:tc>
        <w:tc>
          <w:tcPr>
            <w:tcW w:w="1320" w:type="dxa"/>
            <w:vAlign w:val="bottom"/>
          </w:tcPr>
          <w:p>
            <w:pPr>
              <w:jc w:val="center"/>
              <w:spacing w:after="0"/>
              <w:rPr>
                <w:sz w:val="20"/>
                <w:szCs w:val="20"/>
                <w:color w:val="auto"/>
              </w:rPr>
            </w:pPr>
            <w:r>
              <w:rPr>
                <w:rFonts w:ascii="Arial" w:cs="Arial" w:eastAsia="Arial" w:hAnsi="Arial"/>
                <w:sz w:val="19"/>
                <w:szCs w:val="19"/>
                <w:b w:val="1"/>
                <w:bCs w:val="1"/>
                <w:color w:val="auto"/>
                <w:w w:val="99"/>
              </w:rPr>
              <w:t>22%</w:t>
            </w:r>
          </w:p>
        </w:tc>
        <w:tc>
          <w:tcPr>
            <w:tcW w:w="1320" w:type="dxa"/>
            <w:vAlign w:val="bottom"/>
          </w:tcPr>
          <w:p>
            <w:pPr>
              <w:jc w:val="center"/>
              <w:spacing w:after="0"/>
              <w:rPr>
                <w:sz w:val="20"/>
                <w:szCs w:val="20"/>
                <w:color w:val="auto"/>
              </w:rPr>
            </w:pPr>
            <w:r>
              <w:rPr>
                <w:rFonts w:ascii="Arial" w:cs="Arial" w:eastAsia="Arial" w:hAnsi="Arial"/>
                <w:sz w:val="19"/>
                <w:szCs w:val="19"/>
                <w:b w:val="1"/>
                <w:bCs w:val="1"/>
                <w:color w:val="auto"/>
              </w:rPr>
              <w:t>5%</w:t>
            </w:r>
          </w:p>
        </w:tc>
      </w:tr>
    </w:tbl>
    <w:p>
      <w:pPr>
        <w:spacing w:after="0" w:line="80"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929292"/>
          <w:vertAlign w:val="superscript"/>
        </w:rPr>
        <w:t>1</w:t>
      </w:r>
      <w:r>
        <w:rPr>
          <w:rFonts w:ascii="Arial" w:cs="Arial" w:eastAsia="Arial" w:hAnsi="Arial"/>
          <w:sz w:val="14"/>
          <w:szCs w:val="14"/>
          <w:color w:val="929292"/>
        </w:rPr>
        <w:t>Considering the forward curve for jet fuel prices, as of April 30, 2026, all the collar contracts are "in the money". For a better understanding of the effects of jet fuel price variations on LATAM’s financial results, please refer to Note 3 of the Financial Statements or Item 11 of the annual report on form 20-F for 2024 and 2025, which include a sensitivity analysis of jet fuel price fluctuations, net of hedges.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929292"/>
          <w:vertAlign w:val="superscript"/>
        </w:rPr>
        <w:t>2</w:t>
      </w:r>
      <w:r>
        <w:rPr>
          <w:rFonts w:ascii="Arial" w:cs="Arial" w:eastAsia="Arial" w:hAnsi="Arial"/>
          <w:sz w:val="14"/>
          <w:szCs w:val="14"/>
          <w:color w:val="929292"/>
        </w:rPr>
        <w:t>Considering the forward curve for jet fuel prices as of April 30, 2026, most of the call options contracts are "in the money".</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1B0088"/>
        </w:rPr>
        <w:t>Exchange rate risk</w:t>
      </w:r>
    </w:p>
    <w:p>
      <w:pPr>
        <w:spacing w:after="0" w:line="230"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LATAM’s foreign exchange risk mainly comes from operations in currencies other than its functional currency, the US dollar. The largest operational cash flow exposure comes from the concentration of businesses in Brazil by LATAM Airlines Brazil, which are mostly denominated in Brazilian real. To a lesser degree, LATAM is also exposed to other currencies like the Euro, British pound, and several Latin American currencies. BRL cash flow hedge positions per quarter for the next months, as of April 30, 2026, are shown in the table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20" w:type="dxa"/>
            <w:vAlign w:val="bottom"/>
            <w:shd w:val="clear" w:color="auto" w:fill="1B0088"/>
          </w:tcPr>
          <w:p>
            <w:pPr>
              <w:ind w:left="20"/>
              <w:spacing w:after="0"/>
              <w:rPr>
                <w:sz w:val="20"/>
                <w:szCs w:val="20"/>
                <w:color w:val="auto"/>
              </w:rPr>
            </w:pPr>
            <w:r>
              <w:rPr>
                <w:rFonts w:ascii="Arial" w:cs="Arial" w:eastAsia="Arial" w:hAnsi="Arial"/>
                <w:sz w:val="19"/>
                <w:szCs w:val="19"/>
                <w:color w:val="FFFFFF"/>
              </w:rPr>
              <w:t>FX hedging (BRL)</w:t>
            </w:r>
          </w:p>
        </w:tc>
        <w:tc>
          <w:tcPr>
            <w:tcW w:w="2140" w:type="dxa"/>
            <w:vAlign w:val="bottom"/>
            <w:shd w:val="clear" w:color="auto" w:fill="1B0088"/>
          </w:tcPr>
          <w:p>
            <w:pPr>
              <w:jc w:val="center"/>
              <w:ind w:left="586"/>
              <w:spacing w:after="0"/>
              <w:rPr>
                <w:sz w:val="20"/>
                <w:szCs w:val="20"/>
                <w:color w:val="auto"/>
              </w:rPr>
            </w:pPr>
            <w:r>
              <w:rPr>
                <w:rFonts w:ascii="Arial" w:cs="Arial" w:eastAsia="Arial" w:hAnsi="Arial"/>
                <w:sz w:val="19"/>
                <w:szCs w:val="19"/>
                <w:color w:val="FFFFFF"/>
                <w:w w:val="98"/>
              </w:rPr>
              <w:t>2Q26</w:t>
            </w:r>
          </w:p>
        </w:tc>
        <w:tc>
          <w:tcPr>
            <w:tcW w:w="1480" w:type="dxa"/>
            <w:vAlign w:val="bottom"/>
            <w:shd w:val="clear" w:color="auto" w:fill="1B0088"/>
          </w:tcPr>
          <w:p>
            <w:pPr>
              <w:jc w:val="center"/>
              <w:spacing w:after="0"/>
              <w:rPr>
                <w:sz w:val="20"/>
                <w:szCs w:val="20"/>
                <w:color w:val="auto"/>
              </w:rPr>
            </w:pPr>
            <w:r>
              <w:rPr>
                <w:rFonts w:ascii="Arial" w:cs="Arial" w:eastAsia="Arial" w:hAnsi="Arial"/>
                <w:sz w:val="19"/>
                <w:szCs w:val="19"/>
                <w:color w:val="FFFFFF"/>
                <w:w w:val="98"/>
              </w:rPr>
              <w:t>3Q26</w:t>
            </w:r>
          </w:p>
        </w:tc>
        <w:tc>
          <w:tcPr>
            <w:tcW w:w="1480" w:type="dxa"/>
            <w:vAlign w:val="bottom"/>
            <w:shd w:val="clear" w:color="auto" w:fill="1B0088"/>
          </w:tcPr>
          <w:p>
            <w:pPr>
              <w:jc w:val="center"/>
              <w:spacing w:after="0"/>
              <w:rPr>
                <w:sz w:val="20"/>
                <w:szCs w:val="20"/>
                <w:color w:val="auto"/>
              </w:rPr>
            </w:pPr>
            <w:r>
              <w:rPr>
                <w:rFonts w:ascii="Arial" w:cs="Arial" w:eastAsia="Arial" w:hAnsi="Arial"/>
                <w:sz w:val="19"/>
                <w:szCs w:val="19"/>
                <w:color w:val="FFFFFF"/>
                <w:w w:val="98"/>
              </w:rPr>
              <w:t>4Q26</w:t>
            </w:r>
          </w:p>
        </w:tc>
        <w:tc>
          <w:tcPr>
            <w:tcW w:w="1460" w:type="dxa"/>
            <w:vAlign w:val="bottom"/>
            <w:shd w:val="clear" w:color="auto" w:fill="1B0088"/>
          </w:tcPr>
          <w:p>
            <w:pPr>
              <w:jc w:val="center"/>
              <w:spacing w:after="0"/>
              <w:rPr>
                <w:sz w:val="20"/>
                <w:szCs w:val="20"/>
                <w:color w:val="auto"/>
              </w:rPr>
            </w:pPr>
            <w:r>
              <w:rPr>
                <w:rFonts w:ascii="Arial" w:cs="Arial" w:eastAsia="Arial" w:hAnsi="Arial"/>
                <w:sz w:val="19"/>
                <w:szCs w:val="19"/>
                <w:color w:val="FFFFFF"/>
                <w:w w:val="98"/>
              </w:rPr>
              <w:t>1Q27</w:t>
            </w:r>
          </w:p>
        </w:tc>
      </w:tr>
      <w:tr>
        <w:trPr>
          <w:trHeight w:val="243"/>
        </w:trPr>
        <w:tc>
          <w:tcPr>
            <w:tcW w:w="4420" w:type="dxa"/>
            <w:vAlign w:val="bottom"/>
          </w:tcPr>
          <w:p>
            <w:pPr>
              <w:ind w:left="20"/>
              <w:spacing w:after="0"/>
              <w:rPr>
                <w:sz w:val="20"/>
                <w:szCs w:val="20"/>
                <w:color w:val="auto"/>
              </w:rPr>
            </w:pPr>
            <w:r>
              <w:rPr>
                <w:rFonts w:ascii="Arial" w:cs="Arial" w:eastAsia="Arial" w:hAnsi="Arial"/>
                <w:sz w:val="19"/>
                <w:szCs w:val="19"/>
                <w:b w:val="1"/>
                <w:bCs w:val="1"/>
                <w:color w:val="auto"/>
              </w:rPr>
              <w:t>Hedge positions</w:t>
            </w:r>
          </w:p>
        </w:tc>
        <w:tc>
          <w:tcPr>
            <w:tcW w:w="2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9"/>
        </w:trPr>
        <w:tc>
          <w:tcPr>
            <w:tcW w:w="4420" w:type="dxa"/>
            <w:vAlign w:val="bottom"/>
          </w:tcPr>
          <w:p>
            <w:pPr>
              <w:ind w:left="20"/>
              <w:spacing w:after="0"/>
              <w:rPr>
                <w:sz w:val="20"/>
                <w:szCs w:val="20"/>
                <w:color w:val="auto"/>
              </w:rPr>
            </w:pPr>
            <w:r>
              <w:rPr>
                <w:rFonts w:ascii="Arial" w:cs="Arial" w:eastAsia="Arial" w:hAnsi="Arial"/>
                <w:sz w:val="19"/>
                <w:szCs w:val="19"/>
                <w:color w:val="auto"/>
              </w:rPr>
              <w:t>Estimated cash flow mismatch hedged</w:t>
            </w:r>
          </w:p>
        </w:tc>
        <w:tc>
          <w:tcPr>
            <w:tcW w:w="2140" w:type="dxa"/>
            <w:vAlign w:val="bottom"/>
          </w:tcPr>
          <w:p>
            <w:pPr>
              <w:jc w:val="right"/>
              <w:ind w:right="446"/>
              <w:spacing w:after="0"/>
              <w:rPr>
                <w:sz w:val="20"/>
                <w:szCs w:val="20"/>
                <w:color w:val="auto"/>
              </w:rPr>
            </w:pPr>
            <w:r>
              <w:rPr>
                <w:rFonts w:ascii="Arial" w:cs="Arial" w:eastAsia="Arial" w:hAnsi="Arial"/>
                <w:sz w:val="19"/>
                <w:szCs w:val="19"/>
                <w:color w:val="auto"/>
              </w:rPr>
              <w:t>58%</w:t>
            </w:r>
          </w:p>
        </w:tc>
        <w:tc>
          <w:tcPr>
            <w:tcW w:w="1480" w:type="dxa"/>
            <w:vAlign w:val="bottom"/>
          </w:tcPr>
          <w:p>
            <w:pPr>
              <w:jc w:val="right"/>
              <w:ind w:right="446"/>
              <w:spacing w:after="0"/>
              <w:rPr>
                <w:sz w:val="20"/>
                <w:szCs w:val="20"/>
                <w:color w:val="auto"/>
              </w:rPr>
            </w:pPr>
            <w:r>
              <w:rPr>
                <w:rFonts w:ascii="Arial" w:cs="Arial" w:eastAsia="Arial" w:hAnsi="Arial"/>
                <w:sz w:val="19"/>
                <w:szCs w:val="19"/>
                <w:color w:val="auto"/>
              </w:rPr>
              <w:t>50%</w:t>
            </w:r>
          </w:p>
        </w:tc>
        <w:tc>
          <w:tcPr>
            <w:tcW w:w="1480" w:type="dxa"/>
            <w:vAlign w:val="bottom"/>
          </w:tcPr>
          <w:p>
            <w:pPr>
              <w:jc w:val="right"/>
              <w:ind w:right="466"/>
              <w:spacing w:after="0"/>
              <w:rPr>
                <w:sz w:val="20"/>
                <w:szCs w:val="20"/>
                <w:color w:val="auto"/>
              </w:rPr>
            </w:pPr>
            <w:r>
              <w:rPr>
                <w:rFonts w:ascii="Arial" w:cs="Arial" w:eastAsia="Arial" w:hAnsi="Arial"/>
                <w:sz w:val="19"/>
                <w:szCs w:val="19"/>
                <w:color w:val="auto"/>
              </w:rPr>
              <w:t>27%</w:t>
            </w:r>
          </w:p>
        </w:tc>
        <w:tc>
          <w:tcPr>
            <w:tcW w:w="1460" w:type="dxa"/>
            <w:vAlign w:val="bottom"/>
          </w:tcPr>
          <w:p>
            <w:pPr>
              <w:jc w:val="right"/>
              <w:ind w:right="506"/>
              <w:spacing w:after="0"/>
              <w:rPr>
                <w:sz w:val="20"/>
                <w:szCs w:val="20"/>
                <w:color w:val="auto"/>
              </w:rPr>
            </w:pPr>
            <w:r>
              <w:rPr>
                <w:rFonts w:ascii="Arial" w:cs="Arial" w:eastAsia="Arial" w:hAnsi="Arial"/>
                <w:sz w:val="19"/>
                <w:szCs w:val="19"/>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7F7F7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586359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63590" cy="6858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9" w:name="page10"/>
    <w:bookmarkEnd w:id="9"/>
    <w:p>
      <w:pPr>
        <w:ind w:left="140" w:right="10120"/>
        <w:spacing w:after="0" w:line="249" w:lineRule="auto"/>
        <w:rPr>
          <w:sz w:val="20"/>
          <w:szCs w:val="20"/>
          <w:color w:val="auto"/>
        </w:rPr>
      </w:pPr>
      <w:r>
        <w:rPr>
          <w:rFonts w:ascii="Arial" w:cs="Arial" w:eastAsia="Arial" w:hAnsi="Arial"/>
          <w:sz w:val="25"/>
          <w:szCs w:val="25"/>
          <w:i w:val="1"/>
          <w:i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5829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82930"/>
                    </a:xfrm>
                    <a:prstGeom prst="rect">
                      <a:avLst/>
                    </a:prstGeom>
                    <a:noFill/>
                  </pic:spPr>
                </pic:pic>
              </a:graphicData>
            </a:graphic>
          </wp:anchor>
        </w:drawing>
        <w:t>1Q 2026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1B0088"/>
        </w:rPr>
        <w:t>LATAM FLEET PLAN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LATAM group’s fleet consists of 295 Airbus narrow-body aircraft, 3 Airbus wide-body aircraft under short-term leases, 57 Boeing wide-</w:t>
      </w:r>
    </w:p>
    <w:p>
      <w:pPr>
        <w:spacing w:after="0" w:line="42"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body aircraft and 20 Boeing cargo freighters, totaling 375 aircraft. During the first quarter, the group received 3 A321Neo and 1 A320 CEO, and expects the delivery of 37 aircraft through the remainder of the year. Additionally, the group has incorporated into its order book and upcoming deliveries three Boeing 787-9 aircraft, two arriving in 2027 and one in 2028.</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As of the date of publication, LATAM group has fleet commitment agreements with Airbus, Boeing, and Embraer for new aircraft. Additionally, the group has signed several contracts with lessors to receive narrow-body aircraft and Boeing wide-body aircraft in the coming years, as detailed below:</w:t>
      </w:r>
    </w:p>
    <w:p>
      <w:pPr>
        <w:spacing w:after="0" w:line="200" w:lineRule="exact"/>
        <w:rPr>
          <w:sz w:val="20"/>
          <w:szCs w:val="20"/>
          <w:color w:val="auto"/>
        </w:rPr>
      </w:pPr>
    </w:p>
    <w:p>
      <w:pPr>
        <w:spacing w:after="0" w:line="281" w:lineRule="exact"/>
        <w:rPr>
          <w:sz w:val="20"/>
          <w:szCs w:val="20"/>
          <w:color w:val="auto"/>
        </w:rPr>
      </w:pPr>
    </w:p>
    <w:tbl>
      <w:tblPr>
        <w:tblLayout w:type="fixed"/>
        <w:tblInd w:w="200" w:type="dxa"/>
        <w:tblCellMar>
          <w:top w:w="0" w:type="dxa"/>
          <w:left w:w="0" w:type="dxa"/>
          <w:bottom w:w="0" w:type="dxa"/>
          <w:right w:w="0" w:type="dxa"/>
        </w:tblCellMar>
      </w:tblPr>
      <w:tr>
        <w:trPr>
          <w:trHeight w:val="269"/>
        </w:trPr>
        <w:tc>
          <w:tcPr>
            <w:tcW w:w="3900" w:type="dxa"/>
            <w:vAlign w:val="bottom"/>
            <w:vMerge w:val="restart"/>
            <w:shd w:val="clear" w:color="auto" w:fill="9452FF"/>
          </w:tcPr>
          <w:p>
            <w:pPr>
              <w:spacing w:after="0"/>
              <w:rPr>
                <w:sz w:val="20"/>
                <w:szCs w:val="20"/>
                <w:color w:val="auto"/>
              </w:rPr>
            </w:pPr>
            <w:r>
              <w:rPr>
                <w:rFonts w:ascii="Arial" w:cs="Arial" w:eastAsia="Arial" w:hAnsi="Arial"/>
                <w:sz w:val="19"/>
                <w:szCs w:val="19"/>
                <w:color w:val="FFFFFF"/>
              </w:rPr>
              <w:t>Fleet Plan</w:t>
            </w:r>
          </w:p>
        </w:tc>
        <w:tc>
          <w:tcPr>
            <w:tcW w:w="2000" w:type="dxa"/>
            <w:vAlign w:val="bottom"/>
            <w:vMerge w:val="restart"/>
            <w:shd w:val="clear" w:color="auto" w:fill="9452FF"/>
          </w:tcPr>
          <w:p>
            <w:pPr>
              <w:jc w:val="center"/>
              <w:ind w:left="185"/>
              <w:spacing w:after="0"/>
              <w:rPr>
                <w:sz w:val="20"/>
                <w:szCs w:val="20"/>
                <w:color w:val="auto"/>
              </w:rPr>
            </w:pPr>
            <w:r>
              <w:rPr>
                <w:rFonts w:ascii="Arial" w:cs="Arial" w:eastAsia="Arial" w:hAnsi="Arial"/>
                <w:sz w:val="20"/>
                <w:szCs w:val="20"/>
                <w:color w:val="FFFFFF"/>
                <w:w w:val="98"/>
              </w:rPr>
              <w:t>1Q26</w:t>
            </w:r>
          </w:p>
        </w:tc>
        <w:tc>
          <w:tcPr>
            <w:tcW w:w="4960" w:type="dxa"/>
            <w:vAlign w:val="bottom"/>
            <w:gridSpan w:val="3"/>
            <w:shd w:val="clear" w:color="auto" w:fill="9452FF"/>
          </w:tcPr>
          <w:p>
            <w:pPr>
              <w:ind w:left="980"/>
              <w:spacing w:after="0"/>
              <w:rPr>
                <w:sz w:val="20"/>
                <w:szCs w:val="20"/>
                <w:color w:val="auto"/>
              </w:rPr>
            </w:pPr>
            <w:r>
              <w:rPr>
                <w:rFonts w:ascii="Arial" w:cs="Arial" w:eastAsia="Arial" w:hAnsi="Arial"/>
                <w:sz w:val="19"/>
                <w:szCs w:val="19"/>
                <w:color w:val="FFFFFF"/>
              </w:rPr>
              <w:t>Projected as of the end of each year</w:t>
            </w:r>
          </w:p>
        </w:tc>
        <w:tc>
          <w:tcPr>
            <w:tcW w:w="0" w:type="dxa"/>
            <w:vAlign w:val="bottom"/>
          </w:tcPr>
          <w:p>
            <w:pPr>
              <w:spacing w:after="0"/>
              <w:rPr>
                <w:sz w:val="1"/>
                <w:szCs w:val="1"/>
                <w:color w:val="auto"/>
              </w:rPr>
            </w:pPr>
          </w:p>
        </w:tc>
      </w:tr>
      <w:tr>
        <w:trPr>
          <w:trHeight w:val="115"/>
        </w:trPr>
        <w:tc>
          <w:tcPr>
            <w:tcW w:w="3900" w:type="dxa"/>
            <w:vAlign w:val="bottom"/>
            <w:vMerge w:val="continue"/>
            <w:shd w:val="clear" w:color="auto" w:fill="9452FF"/>
          </w:tcPr>
          <w:p>
            <w:pPr>
              <w:spacing w:after="0"/>
              <w:rPr>
                <w:sz w:val="9"/>
                <w:szCs w:val="9"/>
                <w:color w:val="auto"/>
              </w:rPr>
            </w:pPr>
          </w:p>
        </w:tc>
        <w:tc>
          <w:tcPr>
            <w:tcW w:w="2000" w:type="dxa"/>
            <w:vAlign w:val="bottom"/>
            <w:vMerge w:val="continue"/>
            <w:shd w:val="clear" w:color="auto" w:fill="9452FF"/>
          </w:tcPr>
          <w:p>
            <w:pPr>
              <w:spacing w:after="0"/>
              <w:rPr>
                <w:sz w:val="9"/>
                <w:szCs w:val="9"/>
                <w:color w:val="auto"/>
              </w:rPr>
            </w:pPr>
          </w:p>
        </w:tc>
        <w:tc>
          <w:tcPr>
            <w:tcW w:w="1640" w:type="dxa"/>
            <w:vAlign w:val="bottom"/>
            <w:vMerge w:val="restart"/>
            <w:shd w:val="clear" w:color="auto" w:fill="9452FF"/>
          </w:tcPr>
          <w:p>
            <w:pPr>
              <w:jc w:val="center"/>
              <w:spacing w:after="0"/>
              <w:rPr>
                <w:sz w:val="20"/>
                <w:szCs w:val="20"/>
                <w:color w:val="auto"/>
              </w:rPr>
            </w:pPr>
            <w:r>
              <w:rPr>
                <w:rFonts w:ascii="Arial" w:cs="Arial" w:eastAsia="Arial" w:hAnsi="Arial"/>
                <w:sz w:val="19"/>
                <w:szCs w:val="19"/>
                <w:color w:val="FFFFFF"/>
                <w:w w:val="99"/>
              </w:rPr>
              <w:t>2026</w:t>
            </w:r>
          </w:p>
        </w:tc>
        <w:tc>
          <w:tcPr>
            <w:tcW w:w="1660" w:type="dxa"/>
            <w:vAlign w:val="bottom"/>
            <w:vMerge w:val="restart"/>
            <w:shd w:val="clear" w:color="auto" w:fill="9452FF"/>
          </w:tcPr>
          <w:p>
            <w:pPr>
              <w:jc w:val="center"/>
              <w:spacing w:after="0"/>
              <w:rPr>
                <w:sz w:val="20"/>
                <w:szCs w:val="20"/>
                <w:color w:val="auto"/>
              </w:rPr>
            </w:pPr>
            <w:r>
              <w:rPr>
                <w:rFonts w:ascii="Arial" w:cs="Arial" w:eastAsia="Arial" w:hAnsi="Arial"/>
                <w:sz w:val="19"/>
                <w:szCs w:val="19"/>
                <w:color w:val="FFFFFF"/>
                <w:w w:val="99"/>
              </w:rPr>
              <w:t>2027</w:t>
            </w:r>
          </w:p>
        </w:tc>
        <w:tc>
          <w:tcPr>
            <w:tcW w:w="1660" w:type="dxa"/>
            <w:vAlign w:val="bottom"/>
            <w:vMerge w:val="restart"/>
            <w:shd w:val="clear" w:color="auto" w:fill="9452FF"/>
          </w:tcPr>
          <w:p>
            <w:pPr>
              <w:jc w:val="center"/>
              <w:spacing w:after="0"/>
              <w:rPr>
                <w:sz w:val="20"/>
                <w:szCs w:val="20"/>
                <w:color w:val="auto"/>
              </w:rPr>
            </w:pPr>
            <w:r>
              <w:rPr>
                <w:rFonts w:ascii="Arial" w:cs="Arial" w:eastAsia="Arial" w:hAnsi="Arial"/>
                <w:sz w:val="19"/>
                <w:szCs w:val="19"/>
                <w:color w:val="FFFFFF"/>
                <w:w w:val="99"/>
              </w:rPr>
              <w:t>2028</w:t>
            </w:r>
          </w:p>
        </w:tc>
        <w:tc>
          <w:tcPr>
            <w:tcW w:w="0" w:type="dxa"/>
            <w:vAlign w:val="bottom"/>
          </w:tcPr>
          <w:p>
            <w:pPr>
              <w:spacing w:after="0"/>
              <w:rPr>
                <w:sz w:val="1"/>
                <w:szCs w:val="1"/>
                <w:color w:val="auto"/>
              </w:rPr>
            </w:pPr>
          </w:p>
        </w:tc>
      </w:tr>
      <w:tr>
        <w:trPr>
          <w:trHeight w:val="129"/>
        </w:trPr>
        <w:tc>
          <w:tcPr>
            <w:tcW w:w="3900" w:type="dxa"/>
            <w:vAlign w:val="bottom"/>
            <w:shd w:val="clear" w:color="auto" w:fill="9452FF"/>
          </w:tcPr>
          <w:p>
            <w:pPr>
              <w:spacing w:after="0"/>
              <w:rPr>
                <w:sz w:val="11"/>
                <w:szCs w:val="11"/>
                <w:color w:val="auto"/>
              </w:rPr>
            </w:pPr>
          </w:p>
        </w:tc>
        <w:tc>
          <w:tcPr>
            <w:tcW w:w="2000" w:type="dxa"/>
            <w:vAlign w:val="bottom"/>
            <w:vMerge w:val="continue"/>
            <w:shd w:val="clear" w:color="auto" w:fill="9452FF"/>
          </w:tcPr>
          <w:p>
            <w:pPr>
              <w:spacing w:after="0"/>
              <w:rPr>
                <w:sz w:val="11"/>
                <w:szCs w:val="11"/>
                <w:color w:val="auto"/>
              </w:rPr>
            </w:pPr>
          </w:p>
        </w:tc>
        <w:tc>
          <w:tcPr>
            <w:tcW w:w="1640" w:type="dxa"/>
            <w:vAlign w:val="bottom"/>
            <w:vMerge w:val="continue"/>
            <w:shd w:val="clear" w:color="auto" w:fill="9452FF"/>
          </w:tcPr>
          <w:p>
            <w:pPr>
              <w:spacing w:after="0"/>
              <w:rPr>
                <w:sz w:val="11"/>
                <w:szCs w:val="11"/>
                <w:color w:val="auto"/>
              </w:rPr>
            </w:pPr>
          </w:p>
        </w:tc>
        <w:tc>
          <w:tcPr>
            <w:tcW w:w="1660" w:type="dxa"/>
            <w:vAlign w:val="bottom"/>
            <w:vMerge w:val="continue"/>
            <w:shd w:val="clear" w:color="auto" w:fill="9452FF"/>
          </w:tcPr>
          <w:p>
            <w:pPr>
              <w:spacing w:after="0"/>
              <w:rPr>
                <w:sz w:val="11"/>
                <w:szCs w:val="11"/>
                <w:color w:val="auto"/>
              </w:rPr>
            </w:pPr>
          </w:p>
        </w:tc>
        <w:tc>
          <w:tcPr>
            <w:tcW w:w="1660" w:type="dxa"/>
            <w:vAlign w:val="bottom"/>
            <w:vMerge w:val="continue"/>
            <w:shd w:val="clear" w:color="auto" w:fill="9452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9"/>
                <w:szCs w:val="19"/>
                <w:b w:val="1"/>
                <w:bCs w:val="1"/>
                <w:color w:val="auto"/>
              </w:rPr>
              <w:t>Passenger Aircraft</w:t>
            </w:r>
          </w:p>
        </w:tc>
        <w:tc>
          <w:tcPr>
            <w:tcW w:w="20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9"/>
                <w:szCs w:val="19"/>
                <w:b w:val="1"/>
                <w:bCs w:val="1"/>
                <w:color w:val="auto"/>
              </w:rPr>
              <w:t>Narrow Body</w:t>
            </w:r>
          </w:p>
        </w:tc>
        <w:tc>
          <w:tcPr>
            <w:tcW w:w="20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9"/>
                <w:szCs w:val="19"/>
                <w:color w:val="auto"/>
              </w:rPr>
              <w:t>Airbus Ceo Family</w:t>
            </w:r>
          </w:p>
        </w:tc>
        <w:tc>
          <w:tcPr>
            <w:tcW w:w="2000" w:type="dxa"/>
            <w:vAlign w:val="bottom"/>
          </w:tcPr>
          <w:p>
            <w:pPr>
              <w:jc w:val="center"/>
              <w:ind w:left="185"/>
              <w:spacing w:after="0"/>
              <w:rPr>
                <w:sz w:val="20"/>
                <w:szCs w:val="20"/>
                <w:color w:val="auto"/>
              </w:rPr>
            </w:pPr>
            <w:r>
              <w:rPr>
                <w:rFonts w:ascii="Arial" w:cs="Arial" w:eastAsia="Arial" w:hAnsi="Arial"/>
                <w:sz w:val="19"/>
                <w:szCs w:val="19"/>
                <w:color w:val="auto"/>
              </w:rPr>
              <w:t>223</w:t>
            </w:r>
          </w:p>
        </w:tc>
        <w:tc>
          <w:tcPr>
            <w:tcW w:w="1640" w:type="dxa"/>
            <w:vAlign w:val="bottom"/>
          </w:tcPr>
          <w:p>
            <w:pPr>
              <w:jc w:val="center"/>
              <w:spacing w:after="0"/>
              <w:rPr>
                <w:sz w:val="20"/>
                <w:szCs w:val="20"/>
                <w:color w:val="auto"/>
              </w:rPr>
            </w:pPr>
            <w:r>
              <w:rPr>
                <w:rFonts w:ascii="Arial" w:cs="Arial" w:eastAsia="Arial" w:hAnsi="Arial"/>
                <w:sz w:val="19"/>
                <w:szCs w:val="19"/>
                <w:color w:val="auto"/>
              </w:rPr>
              <w:t>223</w:t>
            </w:r>
          </w:p>
        </w:tc>
        <w:tc>
          <w:tcPr>
            <w:tcW w:w="1660" w:type="dxa"/>
            <w:vAlign w:val="bottom"/>
          </w:tcPr>
          <w:p>
            <w:pPr>
              <w:jc w:val="center"/>
              <w:spacing w:after="0"/>
              <w:rPr>
                <w:sz w:val="20"/>
                <w:szCs w:val="20"/>
                <w:color w:val="auto"/>
              </w:rPr>
            </w:pPr>
            <w:r>
              <w:rPr>
                <w:rFonts w:ascii="Arial" w:cs="Arial" w:eastAsia="Arial" w:hAnsi="Arial"/>
                <w:sz w:val="19"/>
                <w:szCs w:val="19"/>
                <w:color w:val="auto"/>
              </w:rPr>
              <w:t>210</w:t>
            </w:r>
          </w:p>
        </w:tc>
        <w:tc>
          <w:tcPr>
            <w:tcW w:w="1660" w:type="dxa"/>
            <w:vAlign w:val="bottom"/>
          </w:tcPr>
          <w:p>
            <w:pPr>
              <w:jc w:val="center"/>
              <w:spacing w:after="0"/>
              <w:rPr>
                <w:sz w:val="20"/>
                <w:szCs w:val="20"/>
                <w:color w:val="auto"/>
              </w:rPr>
            </w:pPr>
            <w:r>
              <w:rPr>
                <w:rFonts w:ascii="Arial" w:cs="Arial" w:eastAsia="Arial" w:hAnsi="Arial"/>
                <w:sz w:val="19"/>
                <w:szCs w:val="19"/>
                <w:color w:val="auto"/>
                <w:w w:val="94"/>
              </w:rPr>
              <w:t>198</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9"/>
                <w:szCs w:val="19"/>
                <w:color w:val="auto"/>
              </w:rPr>
              <w:t>Airbus Neo Family</w:t>
            </w:r>
          </w:p>
        </w:tc>
        <w:tc>
          <w:tcPr>
            <w:tcW w:w="2000" w:type="dxa"/>
            <w:vAlign w:val="bottom"/>
          </w:tcPr>
          <w:p>
            <w:pPr>
              <w:jc w:val="center"/>
              <w:ind w:left="205"/>
              <w:spacing w:after="0"/>
              <w:rPr>
                <w:sz w:val="20"/>
                <w:szCs w:val="20"/>
                <w:color w:val="auto"/>
              </w:rPr>
            </w:pPr>
            <w:r>
              <w:rPr>
                <w:rFonts w:ascii="Arial" w:cs="Arial" w:eastAsia="Arial" w:hAnsi="Arial"/>
                <w:sz w:val="19"/>
                <w:szCs w:val="19"/>
                <w:color w:val="auto"/>
              </w:rPr>
              <w:t>72</w:t>
            </w:r>
          </w:p>
        </w:tc>
        <w:tc>
          <w:tcPr>
            <w:tcW w:w="1640" w:type="dxa"/>
            <w:vAlign w:val="bottom"/>
          </w:tcPr>
          <w:p>
            <w:pPr>
              <w:jc w:val="center"/>
              <w:spacing w:after="0"/>
              <w:rPr>
                <w:sz w:val="20"/>
                <w:szCs w:val="20"/>
                <w:color w:val="auto"/>
              </w:rPr>
            </w:pPr>
            <w:r>
              <w:rPr>
                <w:rFonts w:ascii="Arial" w:cs="Arial" w:eastAsia="Arial" w:hAnsi="Arial"/>
                <w:sz w:val="19"/>
                <w:szCs w:val="19"/>
                <w:color w:val="auto"/>
              </w:rPr>
              <w:t>94</w:t>
            </w:r>
          </w:p>
        </w:tc>
        <w:tc>
          <w:tcPr>
            <w:tcW w:w="1660" w:type="dxa"/>
            <w:vAlign w:val="bottom"/>
          </w:tcPr>
          <w:p>
            <w:pPr>
              <w:jc w:val="center"/>
              <w:spacing w:after="0"/>
              <w:rPr>
                <w:sz w:val="20"/>
                <w:szCs w:val="20"/>
                <w:color w:val="auto"/>
              </w:rPr>
            </w:pPr>
            <w:r>
              <w:rPr>
                <w:rFonts w:ascii="Arial" w:cs="Arial" w:eastAsia="Arial" w:hAnsi="Arial"/>
                <w:sz w:val="19"/>
                <w:szCs w:val="19"/>
                <w:color w:val="auto"/>
              </w:rPr>
              <w:t>109</w:t>
            </w:r>
          </w:p>
        </w:tc>
        <w:tc>
          <w:tcPr>
            <w:tcW w:w="1660" w:type="dxa"/>
            <w:vAlign w:val="bottom"/>
          </w:tcPr>
          <w:p>
            <w:pPr>
              <w:jc w:val="center"/>
              <w:spacing w:after="0"/>
              <w:rPr>
                <w:sz w:val="20"/>
                <w:szCs w:val="20"/>
                <w:color w:val="auto"/>
              </w:rPr>
            </w:pPr>
            <w:r>
              <w:rPr>
                <w:rFonts w:ascii="Arial" w:cs="Arial" w:eastAsia="Arial" w:hAnsi="Arial"/>
                <w:sz w:val="19"/>
                <w:szCs w:val="19"/>
                <w:color w:val="auto"/>
                <w:w w:val="94"/>
              </w:rPr>
              <w:t>144</w:t>
            </w:r>
          </w:p>
        </w:tc>
        <w:tc>
          <w:tcPr>
            <w:tcW w:w="0" w:type="dxa"/>
            <w:vAlign w:val="bottom"/>
          </w:tcPr>
          <w:p>
            <w:pPr>
              <w:spacing w:after="0"/>
              <w:rPr>
                <w:sz w:val="1"/>
                <w:szCs w:val="1"/>
                <w:color w:val="auto"/>
              </w:rPr>
            </w:pPr>
          </w:p>
        </w:tc>
      </w:tr>
      <w:tr>
        <w:trPr>
          <w:trHeight w:val="243"/>
        </w:trPr>
        <w:tc>
          <w:tcPr>
            <w:tcW w:w="390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Embraer E2 Family</w:t>
            </w:r>
          </w:p>
        </w:tc>
        <w:tc>
          <w:tcPr>
            <w:tcW w:w="20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12</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24</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24</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9"/>
                <w:szCs w:val="19"/>
                <w:color w:val="auto"/>
              </w:rPr>
              <w:t>Total NB</w:t>
            </w:r>
          </w:p>
        </w:tc>
        <w:tc>
          <w:tcPr>
            <w:tcW w:w="2000" w:type="dxa"/>
            <w:vAlign w:val="bottom"/>
          </w:tcPr>
          <w:p>
            <w:pPr>
              <w:jc w:val="center"/>
              <w:ind w:left="185"/>
              <w:spacing w:after="0"/>
              <w:rPr>
                <w:sz w:val="20"/>
                <w:szCs w:val="20"/>
                <w:color w:val="auto"/>
              </w:rPr>
            </w:pPr>
            <w:r>
              <w:rPr>
                <w:rFonts w:ascii="Arial" w:cs="Arial" w:eastAsia="Arial" w:hAnsi="Arial"/>
                <w:sz w:val="19"/>
                <w:szCs w:val="19"/>
                <w:color w:val="auto"/>
              </w:rPr>
              <w:t>295</w:t>
            </w:r>
          </w:p>
        </w:tc>
        <w:tc>
          <w:tcPr>
            <w:tcW w:w="1640" w:type="dxa"/>
            <w:vAlign w:val="bottom"/>
          </w:tcPr>
          <w:p>
            <w:pPr>
              <w:jc w:val="center"/>
              <w:spacing w:after="0"/>
              <w:rPr>
                <w:sz w:val="20"/>
                <w:szCs w:val="20"/>
                <w:color w:val="auto"/>
              </w:rPr>
            </w:pPr>
            <w:r>
              <w:rPr>
                <w:rFonts w:ascii="Arial" w:cs="Arial" w:eastAsia="Arial" w:hAnsi="Arial"/>
                <w:sz w:val="19"/>
                <w:szCs w:val="19"/>
                <w:color w:val="auto"/>
              </w:rPr>
              <w:t>329</w:t>
            </w:r>
          </w:p>
        </w:tc>
        <w:tc>
          <w:tcPr>
            <w:tcW w:w="1660" w:type="dxa"/>
            <w:vAlign w:val="bottom"/>
          </w:tcPr>
          <w:p>
            <w:pPr>
              <w:jc w:val="center"/>
              <w:spacing w:after="0"/>
              <w:rPr>
                <w:sz w:val="20"/>
                <w:szCs w:val="20"/>
                <w:color w:val="auto"/>
              </w:rPr>
            </w:pPr>
            <w:r>
              <w:rPr>
                <w:rFonts w:ascii="Arial" w:cs="Arial" w:eastAsia="Arial" w:hAnsi="Arial"/>
                <w:sz w:val="19"/>
                <w:szCs w:val="19"/>
                <w:color w:val="auto"/>
              </w:rPr>
              <w:t>343</w:t>
            </w:r>
          </w:p>
        </w:tc>
        <w:tc>
          <w:tcPr>
            <w:tcW w:w="1660" w:type="dxa"/>
            <w:vAlign w:val="bottom"/>
          </w:tcPr>
          <w:p>
            <w:pPr>
              <w:jc w:val="center"/>
              <w:spacing w:after="0"/>
              <w:rPr>
                <w:sz w:val="20"/>
                <w:szCs w:val="20"/>
                <w:color w:val="auto"/>
              </w:rPr>
            </w:pPr>
            <w:r>
              <w:rPr>
                <w:rFonts w:ascii="Arial" w:cs="Arial" w:eastAsia="Arial" w:hAnsi="Arial"/>
                <w:sz w:val="19"/>
                <w:szCs w:val="19"/>
                <w:color w:val="auto"/>
                <w:w w:val="94"/>
              </w:rPr>
              <w:t>366</w:t>
            </w:r>
          </w:p>
        </w:tc>
        <w:tc>
          <w:tcPr>
            <w:tcW w:w="0" w:type="dxa"/>
            <w:vAlign w:val="bottom"/>
          </w:tcPr>
          <w:p>
            <w:pPr>
              <w:spacing w:after="0"/>
              <w:rPr>
                <w:sz w:val="1"/>
                <w:szCs w:val="1"/>
                <w:color w:val="auto"/>
              </w:rPr>
            </w:pPr>
          </w:p>
        </w:tc>
      </w:tr>
      <w:tr>
        <w:trPr>
          <w:trHeight w:val="399"/>
        </w:trPr>
        <w:tc>
          <w:tcPr>
            <w:tcW w:w="3900" w:type="dxa"/>
            <w:vAlign w:val="bottom"/>
          </w:tcPr>
          <w:p>
            <w:pPr>
              <w:spacing w:after="0"/>
              <w:rPr>
                <w:sz w:val="20"/>
                <w:szCs w:val="20"/>
                <w:color w:val="auto"/>
              </w:rPr>
            </w:pPr>
            <w:r>
              <w:rPr>
                <w:rFonts w:ascii="Arial" w:cs="Arial" w:eastAsia="Arial" w:hAnsi="Arial"/>
                <w:sz w:val="19"/>
                <w:szCs w:val="19"/>
                <w:b w:val="1"/>
                <w:bCs w:val="1"/>
                <w:color w:val="auto"/>
              </w:rPr>
              <w:t>Wide Body</w:t>
            </w:r>
          </w:p>
        </w:tc>
        <w:tc>
          <w:tcPr>
            <w:tcW w:w="2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9"/>
                <w:szCs w:val="19"/>
                <w:color w:val="auto"/>
              </w:rPr>
              <w:t>Boeing 787</w:t>
            </w:r>
          </w:p>
        </w:tc>
        <w:tc>
          <w:tcPr>
            <w:tcW w:w="2000" w:type="dxa"/>
            <w:vAlign w:val="bottom"/>
          </w:tcPr>
          <w:p>
            <w:pPr>
              <w:jc w:val="center"/>
              <w:ind w:left="205"/>
              <w:spacing w:after="0"/>
              <w:rPr>
                <w:sz w:val="20"/>
                <w:szCs w:val="20"/>
                <w:color w:val="auto"/>
              </w:rPr>
            </w:pPr>
            <w:r>
              <w:rPr>
                <w:rFonts w:ascii="Arial" w:cs="Arial" w:eastAsia="Arial" w:hAnsi="Arial"/>
                <w:sz w:val="19"/>
                <w:szCs w:val="19"/>
                <w:color w:val="auto"/>
              </w:rPr>
              <w:t>38</w:t>
            </w:r>
          </w:p>
        </w:tc>
        <w:tc>
          <w:tcPr>
            <w:tcW w:w="1640" w:type="dxa"/>
            <w:vAlign w:val="bottom"/>
          </w:tcPr>
          <w:p>
            <w:pPr>
              <w:jc w:val="center"/>
              <w:spacing w:after="0"/>
              <w:rPr>
                <w:sz w:val="20"/>
                <w:szCs w:val="20"/>
                <w:color w:val="auto"/>
              </w:rPr>
            </w:pPr>
            <w:r>
              <w:rPr>
                <w:rFonts w:ascii="Arial" w:cs="Arial" w:eastAsia="Arial" w:hAnsi="Arial"/>
                <w:sz w:val="19"/>
                <w:szCs w:val="19"/>
                <w:color w:val="auto"/>
              </w:rPr>
              <w:t>41</w:t>
            </w:r>
          </w:p>
        </w:tc>
        <w:tc>
          <w:tcPr>
            <w:tcW w:w="1660" w:type="dxa"/>
            <w:vAlign w:val="bottom"/>
          </w:tcPr>
          <w:p>
            <w:pPr>
              <w:jc w:val="center"/>
              <w:spacing w:after="0"/>
              <w:rPr>
                <w:sz w:val="20"/>
                <w:szCs w:val="20"/>
                <w:color w:val="auto"/>
              </w:rPr>
            </w:pPr>
            <w:r>
              <w:rPr>
                <w:rFonts w:ascii="Arial" w:cs="Arial" w:eastAsia="Arial" w:hAnsi="Arial"/>
                <w:sz w:val="19"/>
                <w:szCs w:val="19"/>
                <w:color w:val="auto"/>
              </w:rPr>
              <w:t>43</w:t>
            </w:r>
          </w:p>
        </w:tc>
        <w:tc>
          <w:tcPr>
            <w:tcW w:w="1660" w:type="dxa"/>
            <w:vAlign w:val="bottom"/>
          </w:tcPr>
          <w:p>
            <w:pPr>
              <w:jc w:val="center"/>
              <w:spacing w:after="0"/>
              <w:rPr>
                <w:sz w:val="20"/>
                <w:szCs w:val="20"/>
                <w:color w:val="auto"/>
              </w:rPr>
            </w:pPr>
            <w:r>
              <w:rPr>
                <w:rFonts w:ascii="Arial" w:cs="Arial" w:eastAsia="Arial" w:hAnsi="Arial"/>
                <w:sz w:val="19"/>
                <w:szCs w:val="19"/>
                <w:color w:val="auto"/>
              </w:rPr>
              <w:t>50</w:t>
            </w:r>
          </w:p>
        </w:tc>
        <w:tc>
          <w:tcPr>
            <w:tcW w:w="0" w:type="dxa"/>
            <w:vAlign w:val="bottom"/>
          </w:tcPr>
          <w:p>
            <w:pPr>
              <w:spacing w:after="0"/>
              <w:rPr>
                <w:sz w:val="1"/>
                <w:szCs w:val="1"/>
                <w:color w:val="auto"/>
              </w:rPr>
            </w:pPr>
          </w:p>
        </w:tc>
      </w:tr>
      <w:tr>
        <w:trPr>
          <w:trHeight w:val="243"/>
        </w:trPr>
        <w:tc>
          <w:tcPr>
            <w:tcW w:w="390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Other</w:t>
            </w:r>
          </w:p>
        </w:tc>
        <w:tc>
          <w:tcPr>
            <w:tcW w:w="2000" w:type="dxa"/>
            <w:vAlign w:val="bottom"/>
            <w:tcBorders>
              <w:bottom w:val="single" w:sz="8" w:color="auto"/>
            </w:tcBorders>
          </w:tcPr>
          <w:p>
            <w:pPr>
              <w:jc w:val="center"/>
              <w:ind w:left="205"/>
              <w:spacing w:after="0"/>
              <w:rPr>
                <w:sz w:val="20"/>
                <w:szCs w:val="20"/>
                <w:color w:val="auto"/>
              </w:rPr>
            </w:pPr>
            <w:r>
              <w:rPr>
                <w:rFonts w:ascii="Arial" w:cs="Arial" w:eastAsia="Arial" w:hAnsi="Arial"/>
                <w:sz w:val="19"/>
                <w:szCs w:val="19"/>
                <w:color w:val="auto"/>
              </w:rPr>
              <w:t>22</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21</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19</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19</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9"/>
                <w:szCs w:val="19"/>
                <w:color w:val="auto"/>
              </w:rPr>
              <w:t>Total WB</w:t>
            </w:r>
          </w:p>
        </w:tc>
        <w:tc>
          <w:tcPr>
            <w:tcW w:w="2000" w:type="dxa"/>
            <w:vAlign w:val="bottom"/>
          </w:tcPr>
          <w:p>
            <w:pPr>
              <w:jc w:val="center"/>
              <w:ind w:left="205"/>
              <w:spacing w:after="0"/>
              <w:rPr>
                <w:sz w:val="20"/>
                <w:szCs w:val="20"/>
                <w:color w:val="auto"/>
              </w:rPr>
            </w:pPr>
            <w:r>
              <w:rPr>
                <w:rFonts w:ascii="Arial" w:cs="Arial" w:eastAsia="Arial" w:hAnsi="Arial"/>
                <w:sz w:val="19"/>
                <w:szCs w:val="19"/>
                <w:color w:val="auto"/>
              </w:rPr>
              <w:t>60</w:t>
            </w:r>
          </w:p>
        </w:tc>
        <w:tc>
          <w:tcPr>
            <w:tcW w:w="1640" w:type="dxa"/>
            <w:vAlign w:val="bottom"/>
          </w:tcPr>
          <w:p>
            <w:pPr>
              <w:jc w:val="center"/>
              <w:spacing w:after="0"/>
              <w:rPr>
                <w:sz w:val="20"/>
                <w:szCs w:val="20"/>
                <w:color w:val="auto"/>
              </w:rPr>
            </w:pPr>
            <w:r>
              <w:rPr>
                <w:rFonts w:ascii="Arial" w:cs="Arial" w:eastAsia="Arial" w:hAnsi="Arial"/>
                <w:sz w:val="19"/>
                <w:szCs w:val="19"/>
                <w:color w:val="auto"/>
              </w:rPr>
              <w:t>62</w:t>
            </w:r>
          </w:p>
        </w:tc>
        <w:tc>
          <w:tcPr>
            <w:tcW w:w="1660" w:type="dxa"/>
            <w:vAlign w:val="bottom"/>
          </w:tcPr>
          <w:p>
            <w:pPr>
              <w:jc w:val="center"/>
              <w:spacing w:after="0"/>
              <w:rPr>
                <w:sz w:val="20"/>
                <w:szCs w:val="20"/>
                <w:color w:val="auto"/>
              </w:rPr>
            </w:pPr>
            <w:r>
              <w:rPr>
                <w:rFonts w:ascii="Arial" w:cs="Arial" w:eastAsia="Arial" w:hAnsi="Arial"/>
                <w:sz w:val="19"/>
                <w:szCs w:val="19"/>
                <w:color w:val="auto"/>
              </w:rPr>
              <w:t>62</w:t>
            </w:r>
          </w:p>
        </w:tc>
        <w:tc>
          <w:tcPr>
            <w:tcW w:w="1660" w:type="dxa"/>
            <w:vAlign w:val="bottom"/>
          </w:tcPr>
          <w:p>
            <w:pPr>
              <w:jc w:val="center"/>
              <w:spacing w:after="0"/>
              <w:rPr>
                <w:sz w:val="20"/>
                <w:szCs w:val="20"/>
                <w:color w:val="auto"/>
              </w:rPr>
            </w:pPr>
            <w:r>
              <w:rPr>
                <w:rFonts w:ascii="Arial" w:cs="Arial" w:eastAsia="Arial" w:hAnsi="Arial"/>
                <w:sz w:val="19"/>
                <w:szCs w:val="19"/>
                <w:color w:val="auto"/>
              </w:rPr>
              <w:t>69</w:t>
            </w:r>
          </w:p>
        </w:tc>
        <w:tc>
          <w:tcPr>
            <w:tcW w:w="0" w:type="dxa"/>
            <w:vAlign w:val="bottom"/>
          </w:tcPr>
          <w:p>
            <w:pPr>
              <w:spacing w:after="0"/>
              <w:rPr>
                <w:sz w:val="1"/>
                <w:szCs w:val="1"/>
                <w:color w:val="auto"/>
              </w:rPr>
            </w:pPr>
          </w:p>
        </w:tc>
      </w:tr>
      <w:tr>
        <w:trPr>
          <w:trHeight w:val="156"/>
        </w:trPr>
        <w:tc>
          <w:tcPr>
            <w:tcW w:w="39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3900" w:type="dxa"/>
            <w:vAlign w:val="bottom"/>
          </w:tcPr>
          <w:p>
            <w:pPr>
              <w:ind w:left="60"/>
              <w:spacing w:after="0"/>
              <w:rPr>
                <w:sz w:val="20"/>
                <w:szCs w:val="20"/>
                <w:color w:val="auto"/>
              </w:rPr>
            </w:pPr>
            <w:r>
              <w:rPr>
                <w:rFonts w:ascii="Arial" w:cs="Arial" w:eastAsia="Arial" w:hAnsi="Arial"/>
                <w:sz w:val="19"/>
                <w:szCs w:val="19"/>
                <w:b w:val="1"/>
                <w:bCs w:val="1"/>
                <w:color w:val="auto"/>
              </w:rPr>
              <w:t>TOTAL</w:t>
            </w:r>
          </w:p>
        </w:tc>
        <w:tc>
          <w:tcPr>
            <w:tcW w:w="2000" w:type="dxa"/>
            <w:vAlign w:val="bottom"/>
          </w:tcPr>
          <w:p>
            <w:pPr>
              <w:jc w:val="center"/>
              <w:ind w:left="185"/>
              <w:spacing w:after="0"/>
              <w:rPr>
                <w:sz w:val="20"/>
                <w:szCs w:val="20"/>
                <w:color w:val="auto"/>
              </w:rPr>
            </w:pPr>
            <w:r>
              <w:rPr>
                <w:rFonts w:ascii="Arial" w:cs="Arial" w:eastAsia="Arial" w:hAnsi="Arial"/>
                <w:sz w:val="19"/>
                <w:szCs w:val="19"/>
                <w:b w:val="1"/>
                <w:bCs w:val="1"/>
                <w:color w:val="auto"/>
              </w:rPr>
              <w:t>355</w:t>
            </w:r>
          </w:p>
        </w:tc>
        <w:tc>
          <w:tcPr>
            <w:tcW w:w="1640" w:type="dxa"/>
            <w:vAlign w:val="bottom"/>
          </w:tcPr>
          <w:p>
            <w:pPr>
              <w:jc w:val="center"/>
              <w:spacing w:after="0"/>
              <w:rPr>
                <w:sz w:val="20"/>
                <w:szCs w:val="20"/>
                <w:color w:val="auto"/>
              </w:rPr>
            </w:pPr>
            <w:r>
              <w:rPr>
                <w:rFonts w:ascii="Arial" w:cs="Arial" w:eastAsia="Arial" w:hAnsi="Arial"/>
                <w:sz w:val="19"/>
                <w:szCs w:val="19"/>
                <w:b w:val="1"/>
                <w:bCs w:val="1"/>
                <w:color w:val="auto"/>
              </w:rPr>
              <w:t>391</w:t>
            </w:r>
          </w:p>
        </w:tc>
        <w:tc>
          <w:tcPr>
            <w:tcW w:w="1660" w:type="dxa"/>
            <w:vAlign w:val="bottom"/>
          </w:tcPr>
          <w:p>
            <w:pPr>
              <w:jc w:val="center"/>
              <w:spacing w:after="0"/>
              <w:rPr>
                <w:sz w:val="20"/>
                <w:szCs w:val="20"/>
                <w:color w:val="auto"/>
              </w:rPr>
            </w:pPr>
            <w:r>
              <w:rPr>
                <w:rFonts w:ascii="Arial" w:cs="Arial" w:eastAsia="Arial" w:hAnsi="Arial"/>
                <w:sz w:val="19"/>
                <w:szCs w:val="19"/>
                <w:b w:val="1"/>
                <w:bCs w:val="1"/>
                <w:color w:val="auto"/>
              </w:rPr>
              <w:t>405</w:t>
            </w:r>
          </w:p>
        </w:tc>
        <w:tc>
          <w:tcPr>
            <w:tcW w:w="1660" w:type="dxa"/>
            <w:vAlign w:val="bottom"/>
          </w:tcPr>
          <w:p>
            <w:pPr>
              <w:jc w:val="center"/>
              <w:spacing w:after="0"/>
              <w:rPr>
                <w:sz w:val="20"/>
                <w:szCs w:val="20"/>
                <w:color w:val="auto"/>
              </w:rPr>
            </w:pPr>
            <w:r>
              <w:rPr>
                <w:rFonts w:ascii="Arial" w:cs="Arial" w:eastAsia="Arial" w:hAnsi="Arial"/>
                <w:sz w:val="19"/>
                <w:szCs w:val="19"/>
                <w:b w:val="1"/>
                <w:bCs w:val="1"/>
                <w:color w:val="auto"/>
                <w:w w:val="94"/>
              </w:rPr>
              <w:t>435</w:t>
            </w:r>
          </w:p>
        </w:tc>
        <w:tc>
          <w:tcPr>
            <w:tcW w:w="0" w:type="dxa"/>
            <w:vAlign w:val="bottom"/>
          </w:tcPr>
          <w:p>
            <w:pPr>
              <w:spacing w:after="0"/>
              <w:rPr>
                <w:sz w:val="1"/>
                <w:szCs w:val="1"/>
                <w:color w:val="auto"/>
              </w:rPr>
            </w:pPr>
          </w:p>
        </w:tc>
      </w:tr>
      <w:tr>
        <w:trPr>
          <w:trHeight w:val="389"/>
        </w:trPr>
        <w:tc>
          <w:tcPr>
            <w:tcW w:w="3900" w:type="dxa"/>
            <w:vAlign w:val="bottom"/>
          </w:tcPr>
          <w:p>
            <w:pPr>
              <w:spacing w:after="0"/>
              <w:rPr>
                <w:sz w:val="20"/>
                <w:szCs w:val="20"/>
                <w:color w:val="auto"/>
              </w:rPr>
            </w:pPr>
            <w:r>
              <w:rPr>
                <w:rFonts w:ascii="Arial" w:cs="Arial" w:eastAsia="Arial" w:hAnsi="Arial"/>
                <w:sz w:val="19"/>
                <w:szCs w:val="19"/>
                <w:b w:val="1"/>
                <w:bCs w:val="1"/>
                <w:color w:val="auto"/>
              </w:rPr>
              <w:t>Cargo Aircraft</w:t>
            </w:r>
          </w:p>
        </w:tc>
        <w:tc>
          <w:tcPr>
            <w:tcW w:w="2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Boeing 767-300F</w:t>
            </w:r>
          </w:p>
        </w:tc>
        <w:tc>
          <w:tcPr>
            <w:tcW w:w="2000" w:type="dxa"/>
            <w:vAlign w:val="bottom"/>
            <w:tcBorders>
              <w:bottom w:val="single" w:sz="8" w:color="auto"/>
            </w:tcBorders>
          </w:tcPr>
          <w:p>
            <w:pPr>
              <w:jc w:val="center"/>
              <w:ind w:left="205"/>
              <w:spacing w:after="0"/>
              <w:rPr>
                <w:sz w:val="20"/>
                <w:szCs w:val="20"/>
                <w:color w:val="auto"/>
              </w:rPr>
            </w:pPr>
            <w:r>
              <w:rPr>
                <w:rFonts w:ascii="Arial" w:cs="Arial" w:eastAsia="Arial" w:hAnsi="Arial"/>
                <w:sz w:val="19"/>
                <w:szCs w:val="19"/>
                <w:color w:val="auto"/>
              </w:rPr>
              <w:t>20</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19</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19</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19</w:t>
            </w:r>
          </w:p>
        </w:tc>
        <w:tc>
          <w:tcPr>
            <w:tcW w:w="0" w:type="dxa"/>
            <w:vAlign w:val="bottom"/>
          </w:tcPr>
          <w:p>
            <w:pPr>
              <w:spacing w:after="0"/>
              <w:rPr>
                <w:sz w:val="1"/>
                <w:szCs w:val="1"/>
                <w:color w:val="auto"/>
              </w:rPr>
            </w:pPr>
          </w:p>
        </w:tc>
      </w:tr>
      <w:tr>
        <w:trPr>
          <w:trHeight w:val="253"/>
        </w:trPr>
        <w:tc>
          <w:tcPr>
            <w:tcW w:w="3900" w:type="dxa"/>
            <w:vAlign w:val="bottom"/>
          </w:tcPr>
          <w:p>
            <w:pPr>
              <w:ind w:left="60"/>
              <w:spacing w:after="0"/>
              <w:rPr>
                <w:sz w:val="20"/>
                <w:szCs w:val="20"/>
                <w:color w:val="auto"/>
              </w:rPr>
            </w:pPr>
            <w:r>
              <w:rPr>
                <w:rFonts w:ascii="Arial" w:cs="Arial" w:eastAsia="Arial" w:hAnsi="Arial"/>
                <w:sz w:val="19"/>
                <w:szCs w:val="19"/>
                <w:b w:val="1"/>
                <w:bCs w:val="1"/>
                <w:color w:val="auto"/>
              </w:rPr>
              <w:t>TOTAL</w:t>
            </w:r>
          </w:p>
        </w:tc>
        <w:tc>
          <w:tcPr>
            <w:tcW w:w="2000" w:type="dxa"/>
            <w:vAlign w:val="bottom"/>
          </w:tcPr>
          <w:p>
            <w:pPr>
              <w:jc w:val="center"/>
              <w:ind w:left="205"/>
              <w:spacing w:after="0"/>
              <w:rPr>
                <w:sz w:val="20"/>
                <w:szCs w:val="20"/>
                <w:color w:val="auto"/>
              </w:rPr>
            </w:pPr>
            <w:r>
              <w:rPr>
                <w:rFonts w:ascii="Arial" w:cs="Arial" w:eastAsia="Arial" w:hAnsi="Arial"/>
                <w:sz w:val="19"/>
                <w:szCs w:val="19"/>
                <w:b w:val="1"/>
                <w:bCs w:val="1"/>
                <w:color w:val="auto"/>
              </w:rPr>
              <w:t>20</w:t>
            </w:r>
          </w:p>
        </w:tc>
        <w:tc>
          <w:tcPr>
            <w:tcW w:w="1640" w:type="dxa"/>
            <w:vAlign w:val="bottom"/>
          </w:tcPr>
          <w:p>
            <w:pPr>
              <w:jc w:val="center"/>
              <w:spacing w:after="0"/>
              <w:rPr>
                <w:sz w:val="20"/>
                <w:szCs w:val="20"/>
                <w:color w:val="auto"/>
              </w:rPr>
            </w:pPr>
            <w:r>
              <w:rPr>
                <w:rFonts w:ascii="Arial" w:cs="Arial" w:eastAsia="Arial" w:hAnsi="Arial"/>
                <w:sz w:val="19"/>
                <w:szCs w:val="19"/>
                <w:b w:val="1"/>
                <w:bCs w:val="1"/>
                <w:color w:val="auto"/>
              </w:rPr>
              <w:t>19</w:t>
            </w:r>
          </w:p>
        </w:tc>
        <w:tc>
          <w:tcPr>
            <w:tcW w:w="1660" w:type="dxa"/>
            <w:vAlign w:val="bottom"/>
          </w:tcPr>
          <w:p>
            <w:pPr>
              <w:jc w:val="center"/>
              <w:spacing w:after="0"/>
              <w:rPr>
                <w:sz w:val="20"/>
                <w:szCs w:val="20"/>
                <w:color w:val="auto"/>
              </w:rPr>
            </w:pPr>
            <w:r>
              <w:rPr>
                <w:rFonts w:ascii="Arial" w:cs="Arial" w:eastAsia="Arial" w:hAnsi="Arial"/>
                <w:sz w:val="19"/>
                <w:szCs w:val="19"/>
                <w:b w:val="1"/>
                <w:bCs w:val="1"/>
                <w:color w:val="auto"/>
              </w:rPr>
              <w:t>19</w:t>
            </w:r>
          </w:p>
        </w:tc>
        <w:tc>
          <w:tcPr>
            <w:tcW w:w="1660" w:type="dxa"/>
            <w:vAlign w:val="bottom"/>
          </w:tcPr>
          <w:p>
            <w:pPr>
              <w:jc w:val="center"/>
              <w:spacing w:after="0"/>
              <w:rPr>
                <w:sz w:val="20"/>
                <w:szCs w:val="20"/>
                <w:color w:val="auto"/>
              </w:rPr>
            </w:pPr>
            <w:r>
              <w:rPr>
                <w:rFonts w:ascii="Arial" w:cs="Arial" w:eastAsia="Arial" w:hAnsi="Arial"/>
                <w:sz w:val="19"/>
                <w:szCs w:val="19"/>
                <w:b w:val="1"/>
                <w:bCs w:val="1"/>
                <w:color w:val="auto"/>
              </w:rPr>
              <w:t>19</w:t>
            </w:r>
          </w:p>
        </w:tc>
        <w:tc>
          <w:tcPr>
            <w:tcW w:w="0" w:type="dxa"/>
            <w:vAlign w:val="bottom"/>
          </w:tcPr>
          <w:p>
            <w:pPr>
              <w:spacing w:after="0"/>
              <w:rPr>
                <w:sz w:val="1"/>
                <w:szCs w:val="1"/>
                <w:color w:val="auto"/>
              </w:rPr>
            </w:pPr>
          </w:p>
        </w:tc>
      </w:tr>
      <w:tr>
        <w:trPr>
          <w:trHeight w:val="227"/>
        </w:trPr>
        <w:tc>
          <w:tcPr>
            <w:tcW w:w="39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TOTAL FLEET (end of the period)</w:t>
            </w:r>
          </w:p>
        </w:tc>
        <w:tc>
          <w:tcPr>
            <w:tcW w:w="2000" w:type="dxa"/>
            <w:vAlign w:val="bottom"/>
            <w:tcBorders>
              <w:bottom w:val="single" w:sz="8" w:color="auto"/>
            </w:tcBorders>
          </w:tcPr>
          <w:p>
            <w:pPr>
              <w:jc w:val="center"/>
              <w:ind w:left="185"/>
              <w:spacing w:after="0"/>
              <w:rPr>
                <w:sz w:val="20"/>
                <w:szCs w:val="20"/>
                <w:color w:val="auto"/>
              </w:rPr>
            </w:pPr>
            <w:r>
              <w:rPr>
                <w:rFonts w:ascii="Arial" w:cs="Arial" w:eastAsia="Arial" w:hAnsi="Arial"/>
                <w:sz w:val="19"/>
                <w:szCs w:val="19"/>
                <w:b w:val="1"/>
                <w:bCs w:val="1"/>
                <w:color w:val="auto"/>
              </w:rPr>
              <w:t>375</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rPr>
              <w:t>410</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rPr>
              <w:t>424</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94"/>
              </w:rPr>
              <w:t>454</w:t>
            </w:r>
          </w:p>
        </w:tc>
        <w:tc>
          <w:tcPr>
            <w:tcW w:w="0" w:type="dxa"/>
            <w:vAlign w:val="bottom"/>
          </w:tcPr>
          <w:p>
            <w:pPr>
              <w:spacing w:after="0"/>
              <w:rPr>
                <w:sz w:val="1"/>
                <w:szCs w:val="1"/>
                <w:color w:val="auto"/>
              </w:rPr>
            </w:pP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390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39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AVERAGE FLEET</w:t>
            </w:r>
          </w:p>
        </w:tc>
        <w:tc>
          <w:tcPr>
            <w:tcW w:w="2000" w:type="dxa"/>
            <w:vAlign w:val="bottom"/>
            <w:tcBorders>
              <w:bottom w:val="single" w:sz="8" w:color="auto"/>
            </w:tcBorders>
          </w:tcPr>
          <w:p>
            <w:pPr>
              <w:jc w:val="center"/>
              <w:ind w:left="185"/>
              <w:spacing w:after="0"/>
              <w:rPr>
                <w:sz w:val="20"/>
                <w:szCs w:val="20"/>
                <w:color w:val="auto"/>
              </w:rPr>
            </w:pPr>
            <w:r>
              <w:rPr>
                <w:rFonts w:ascii="Arial" w:cs="Arial" w:eastAsia="Arial" w:hAnsi="Arial"/>
                <w:sz w:val="19"/>
                <w:szCs w:val="19"/>
                <w:b w:val="1"/>
                <w:bCs w:val="1"/>
                <w:color w:val="auto"/>
              </w:rPr>
              <w:t>373</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rPr>
              <w:t>388</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rPr>
              <w:t>419</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94"/>
              </w:rPr>
              <w:t>435</w:t>
            </w:r>
          </w:p>
        </w:tc>
        <w:tc>
          <w:tcPr>
            <w:tcW w:w="0" w:type="dxa"/>
            <w:vAlign w:val="bottom"/>
          </w:tcPr>
          <w:p>
            <w:pPr>
              <w:spacing w:after="0"/>
              <w:rPr>
                <w:sz w:val="1"/>
                <w:szCs w:val="1"/>
                <w:color w:val="auto"/>
              </w:rPr>
            </w:pPr>
          </w:p>
        </w:tc>
      </w:tr>
      <w:tr>
        <w:trPr>
          <w:trHeight w:val="21"/>
        </w:trPr>
        <w:tc>
          <w:tcPr>
            <w:tcW w:w="39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160"/>
        <w:spacing w:after="0" w:line="285" w:lineRule="auto"/>
        <w:rPr>
          <w:sz w:val="20"/>
          <w:szCs w:val="20"/>
          <w:color w:val="auto"/>
        </w:rPr>
      </w:pPr>
      <w:r>
        <w:rPr>
          <w:rFonts w:ascii="Arial" w:cs="Arial" w:eastAsia="Arial" w:hAnsi="Arial"/>
          <w:sz w:val="14"/>
          <w:szCs w:val="14"/>
          <w:b w:val="1"/>
          <w:bCs w:val="1"/>
          <w:color w:val="6D6D6D"/>
        </w:rPr>
        <w:t>Note</w:t>
      </w:r>
      <w:r>
        <w:rPr>
          <w:rFonts w:ascii="Arial" w:cs="Arial" w:eastAsia="Arial" w:hAnsi="Arial"/>
          <w:sz w:val="14"/>
          <w:szCs w:val="14"/>
          <w:color w:val="6D6D6D"/>
        </w:rPr>
        <w:t>: This fleet plan considers LATAM group's best estimates for committed arrivals, current decisions regarding aircraft sales, retirements and lease extensions. In the</w:t>
      </w:r>
      <w:r>
        <w:rPr>
          <w:rFonts w:ascii="Arial" w:cs="Arial" w:eastAsia="Arial" w:hAnsi="Arial"/>
          <w:sz w:val="14"/>
          <w:szCs w:val="14"/>
          <w:b w:val="1"/>
          <w:bCs w:val="1"/>
          <w:color w:val="6D6D6D"/>
        </w:rPr>
        <w:t xml:space="preserve"> </w:t>
      </w:r>
      <w:r>
        <w:rPr>
          <w:rFonts w:ascii="Arial" w:cs="Arial" w:eastAsia="Arial" w:hAnsi="Arial"/>
          <w:sz w:val="14"/>
          <w:szCs w:val="14"/>
          <w:color w:val="6D6D6D"/>
        </w:rPr>
        <w:t>Financial Statements, Note 13 describes the aircraft that are currently held for sale.</w:t>
      </w:r>
    </w:p>
    <w:p>
      <w:pPr>
        <w:sectPr>
          <w:pgSz w:w="11900" w:h="16838" w:orient="portrait"/>
          <w:cols w:equalWidth="0" w:num="1">
            <w:col w:w="11240"/>
          </w:cols>
          <w:pgMar w:left="320" w:top="3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7F7F7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86359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63590" cy="6858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type w:val="continuous"/>
        </w:sectPr>
      </w:pPr>
    </w:p>
    <w:bookmarkStart w:id="10" w:name="page11"/>
    <w:bookmarkEnd w:id="10"/>
    <w:p>
      <w:pPr>
        <w:ind w:left="140" w:right="10120"/>
        <w:spacing w:after="0" w:line="249" w:lineRule="auto"/>
        <w:rPr>
          <w:sz w:val="20"/>
          <w:szCs w:val="20"/>
          <w:color w:val="auto"/>
        </w:rPr>
      </w:pPr>
      <w:r>
        <w:rPr>
          <w:rFonts w:ascii="Arial" w:cs="Arial" w:eastAsia="Arial" w:hAnsi="Arial"/>
          <w:sz w:val="25"/>
          <w:szCs w:val="25"/>
          <w:i w:val="1"/>
          <w:i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5829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582930"/>
                    </a:xfrm>
                    <a:prstGeom prst="rect">
                      <a:avLst/>
                    </a:prstGeom>
                    <a:noFill/>
                  </pic:spPr>
                </pic:pic>
              </a:graphicData>
            </a:graphic>
          </wp:anchor>
        </w:drawing>
        <w:t>1Q 2026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1B0088"/>
        </w:rPr>
        <w:t>2026 GUIDANCE</w:t>
      </w:r>
    </w:p>
    <w:p>
      <w:pPr>
        <w:spacing w:after="0" w:line="217"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Considering the conflict in the Middle East and its impact on the macroeconomic and geopolitical global scenario, the current environment remains highly uncertain and difficult to forecast, particularly given elevated jet fuel prices, which may impact passenger and cargo demand.</w:t>
      </w: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While the previous 2026 guidance assumed an average jet fuel price of US$90 per barrel, more reasonable assumptions suggest a higher value. We assume US$170 for 2Q26, US$170 for 3Q26, and US$150 for 4Q26 per barrel, respectively. Another important update to the New 2026 Guidance assumptions was the revision to the exchange rate forecast for Brazil, from 5.5 to 5.15 (BRL/USD), which alongside the appreciation of other local currencies, drives the upward change to Adjusted Passenger CASK ex fuel.</w:t>
      </w:r>
    </w:p>
    <w:p>
      <w:pPr>
        <w:spacing w:after="0" w:line="209"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As a result of market volatility and uncertain times, the Company is replacing the prior 2026 guidance with a set of key financial metrics that include Adj. Passenger CASK ex fuel, Adj. EBITDA, Liquidity and Adj. Net leverage. This guidance and its format may be revised or withdrawn depending on the development of external conditions and/or macroeconomic volatility.</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19"/>
          <w:szCs w:val="19"/>
          <w:b w:val="1"/>
          <w:bCs w:val="1"/>
          <w:u w:val="single" w:color="auto"/>
          <w:color w:val="auto"/>
        </w:rPr>
        <w:t>Guidance for the full year 2026</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9"/>
          <w:szCs w:val="19"/>
          <w:i w:val="1"/>
          <w:iCs w:val="1"/>
          <w:color w:val="auto"/>
        </w:rPr>
        <w:t>For reference and comparison only, LATAM's prior guidance is presented below alongside the New 2026 Guidance.</w:t>
      </w:r>
    </w:p>
    <w:p>
      <w:pPr>
        <w:sectPr>
          <w:pgSz w:w="11900" w:h="16838" w:orient="portrait"/>
          <w:cols w:equalWidth="0" w:num="1">
            <w:col w:w="11240"/>
          </w:cols>
          <w:pgMar w:left="320" w:top="322" w:right="339" w:bottom="1065" w:gutter="0" w:footer="0" w:header="0"/>
        </w:sectPr>
      </w:pPr>
    </w:p>
    <w:p>
      <w:pPr>
        <w:spacing w:after="0" w:line="365" w:lineRule="exact"/>
        <w:rPr>
          <w:sz w:val="20"/>
          <w:szCs w:val="20"/>
          <w:color w:val="auto"/>
        </w:rPr>
      </w:pPr>
    </w:p>
    <w:p>
      <w:pPr>
        <w:ind w:left="860"/>
        <w:spacing w:after="0"/>
        <w:rPr>
          <w:sz w:val="20"/>
          <w:szCs w:val="20"/>
          <w:color w:val="auto"/>
        </w:rPr>
      </w:pPr>
      <w:r>
        <w:rPr>
          <w:rFonts w:ascii="Arial" w:cs="Arial" w:eastAsia="Arial" w:hAnsi="Arial"/>
          <w:sz w:val="17"/>
          <w:szCs w:val="17"/>
          <w:color w:val="FFFFFF"/>
        </w:rPr>
        <w:t>Guidance</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Adjusted Passenger CASK ex fuel</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(US$ cents)</w:t>
      </w:r>
    </w:p>
    <w:p>
      <w:pPr>
        <w:ind w:left="860"/>
        <w:spacing w:after="0" w:line="221" w:lineRule="auto"/>
        <w:rPr>
          <w:sz w:val="20"/>
          <w:szCs w:val="20"/>
          <w:color w:val="auto"/>
        </w:rPr>
      </w:pPr>
      <w:r>
        <w:rPr>
          <w:rFonts w:ascii="Arial" w:cs="Arial" w:eastAsia="Arial" w:hAnsi="Arial"/>
          <w:sz w:val="17"/>
          <w:szCs w:val="17"/>
          <w:color w:val="auto"/>
        </w:rPr>
        <w:t>Adjusted EBITDA</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(US$ billion)</w:t>
      </w:r>
    </w:p>
    <w:p>
      <w:pPr>
        <w:ind w:left="860"/>
        <w:spacing w:after="0" w:line="218" w:lineRule="auto"/>
        <w:rPr>
          <w:sz w:val="20"/>
          <w:szCs w:val="20"/>
          <w:color w:val="auto"/>
        </w:rPr>
      </w:pPr>
      <w:r>
        <w:rPr>
          <w:rFonts w:ascii="Arial" w:cs="Arial" w:eastAsia="Arial" w:hAnsi="Arial"/>
          <w:sz w:val="17"/>
          <w:szCs w:val="17"/>
          <w:color w:val="auto"/>
        </w:rPr>
        <w:t>Liquidity</w:t>
      </w:r>
      <w:r>
        <w:rPr>
          <w:rFonts w:ascii="Arial" w:cs="Arial" w:eastAsia="Arial" w:hAnsi="Arial"/>
          <w:sz w:val="22"/>
          <w:szCs w:val="22"/>
          <w:color w:val="auto"/>
          <w:vertAlign w:val="superscript"/>
        </w:rPr>
        <w:t>3</w:t>
      </w:r>
      <w:r>
        <w:rPr>
          <w:rFonts w:ascii="Arial" w:cs="Arial" w:eastAsia="Arial" w:hAnsi="Arial"/>
          <w:sz w:val="17"/>
          <w:szCs w:val="17"/>
          <w:color w:val="auto"/>
        </w:rPr>
        <w:t xml:space="preserve"> (US$ billion)</w:t>
      </w:r>
    </w:p>
    <w:p>
      <w:pPr>
        <w:ind w:left="860"/>
        <w:spacing w:after="0"/>
        <w:rPr>
          <w:sz w:val="20"/>
          <w:szCs w:val="20"/>
          <w:color w:val="auto"/>
        </w:rPr>
      </w:pPr>
      <w:r>
        <w:rPr>
          <w:rFonts w:ascii="Arial" w:cs="Arial" w:eastAsia="Arial" w:hAnsi="Arial"/>
          <w:sz w:val="17"/>
          <w:szCs w:val="17"/>
          <w:color w:val="auto"/>
        </w:rPr>
        <w:t>Total Net Debt</w:t>
      </w:r>
      <w:r>
        <w:rPr>
          <w:rFonts w:ascii="Arial" w:cs="Arial" w:eastAsia="Arial" w:hAnsi="Arial"/>
          <w:sz w:val="22"/>
          <w:szCs w:val="22"/>
          <w:color w:val="auto"/>
          <w:vertAlign w:val="superscript"/>
        </w:rPr>
        <w:t>4</w:t>
      </w:r>
      <w:r>
        <w:rPr>
          <w:rFonts w:ascii="Arial" w:cs="Arial" w:eastAsia="Arial" w:hAnsi="Arial"/>
          <w:sz w:val="17"/>
          <w:szCs w:val="17"/>
          <w:color w:val="auto"/>
        </w:rPr>
        <w:t>/Adjusted EBITDA</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(x)</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100" w:type="dxa"/>
            <w:vAlign w:val="bottom"/>
          </w:tcPr>
          <w:p>
            <w:pPr>
              <w:jc w:val="center"/>
              <w:ind w:right="495"/>
              <w:spacing w:after="0"/>
              <w:rPr>
                <w:sz w:val="20"/>
                <w:szCs w:val="20"/>
                <w:color w:val="auto"/>
              </w:rPr>
            </w:pPr>
            <w:r>
              <w:rPr>
                <w:rFonts w:ascii="Arial" w:cs="Arial" w:eastAsia="Arial" w:hAnsi="Arial"/>
                <w:sz w:val="17"/>
                <w:szCs w:val="17"/>
                <w:color w:val="FFFFFF"/>
              </w:rPr>
              <w:t>Prior 2026E</w:t>
            </w:r>
          </w:p>
        </w:tc>
        <w:tc>
          <w:tcPr>
            <w:tcW w:w="2120" w:type="dxa"/>
            <w:vAlign w:val="bottom"/>
          </w:tcPr>
          <w:p>
            <w:pPr>
              <w:jc w:val="center"/>
              <w:ind w:left="475"/>
              <w:spacing w:after="0"/>
              <w:rPr>
                <w:sz w:val="20"/>
                <w:szCs w:val="20"/>
                <w:color w:val="auto"/>
              </w:rPr>
            </w:pPr>
            <w:r>
              <w:rPr>
                <w:rFonts w:ascii="Arial" w:cs="Arial" w:eastAsia="Arial" w:hAnsi="Arial"/>
                <w:sz w:val="17"/>
                <w:szCs w:val="17"/>
                <w:color w:val="FFFFFF"/>
              </w:rPr>
              <w:t>New 2026 Guidance</w:t>
            </w:r>
          </w:p>
        </w:tc>
      </w:tr>
      <w:tr>
        <w:trPr>
          <w:trHeight w:val="216"/>
        </w:trPr>
        <w:tc>
          <w:tcPr>
            <w:tcW w:w="2100" w:type="dxa"/>
            <w:vAlign w:val="bottom"/>
          </w:tcPr>
          <w:p>
            <w:pPr>
              <w:jc w:val="center"/>
              <w:ind w:right="495"/>
              <w:spacing w:after="0"/>
              <w:rPr>
                <w:sz w:val="20"/>
                <w:szCs w:val="20"/>
                <w:color w:val="auto"/>
              </w:rPr>
            </w:pPr>
            <w:r>
              <w:rPr>
                <w:rFonts w:ascii="Arial" w:cs="Arial" w:eastAsia="Arial" w:hAnsi="Arial"/>
                <w:sz w:val="17"/>
                <w:szCs w:val="17"/>
                <w:color w:val="FFFFFF"/>
              </w:rPr>
              <w:t>(December 3, 2025)</w:t>
            </w:r>
          </w:p>
        </w:tc>
        <w:tc>
          <w:tcPr>
            <w:tcW w:w="2120" w:type="dxa"/>
            <w:vAlign w:val="bottom"/>
          </w:tcPr>
          <w:p>
            <w:pPr>
              <w:jc w:val="center"/>
              <w:ind w:left="475"/>
              <w:spacing w:after="0"/>
              <w:rPr>
                <w:sz w:val="20"/>
                <w:szCs w:val="20"/>
                <w:color w:val="auto"/>
              </w:rPr>
            </w:pPr>
            <w:r>
              <w:rPr>
                <w:rFonts w:ascii="Arial" w:cs="Arial" w:eastAsia="Arial" w:hAnsi="Arial"/>
                <w:sz w:val="17"/>
                <w:szCs w:val="17"/>
                <w:color w:val="FFFFFF"/>
                <w:w w:val="99"/>
              </w:rPr>
              <w:t>(May 5, 2026)</w:t>
            </w:r>
          </w:p>
        </w:tc>
      </w:tr>
      <w:tr>
        <w:trPr>
          <w:trHeight w:val="225"/>
        </w:trPr>
        <w:tc>
          <w:tcPr>
            <w:tcW w:w="2100" w:type="dxa"/>
            <w:vAlign w:val="bottom"/>
          </w:tcPr>
          <w:p>
            <w:pPr>
              <w:jc w:val="center"/>
              <w:ind w:right="495"/>
              <w:spacing w:after="0"/>
              <w:rPr>
                <w:sz w:val="20"/>
                <w:szCs w:val="20"/>
                <w:color w:val="auto"/>
              </w:rPr>
            </w:pPr>
            <w:r>
              <w:rPr>
                <w:rFonts w:ascii="Arial" w:cs="Arial" w:eastAsia="Arial" w:hAnsi="Arial"/>
                <w:sz w:val="17"/>
                <w:szCs w:val="17"/>
                <w:color w:val="auto"/>
              </w:rPr>
              <w:t>4.30 - 4.50</w:t>
            </w:r>
          </w:p>
        </w:tc>
        <w:tc>
          <w:tcPr>
            <w:tcW w:w="2120" w:type="dxa"/>
            <w:vAlign w:val="bottom"/>
          </w:tcPr>
          <w:p>
            <w:pPr>
              <w:jc w:val="right"/>
              <w:ind w:right="275"/>
              <w:spacing w:after="0"/>
              <w:rPr>
                <w:sz w:val="20"/>
                <w:szCs w:val="20"/>
                <w:color w:val="auto"/>
              </w:rPr>
            </w:pPr>
            <w:r>
              <w:rPr>
                <w:rFonts w:ascii="Arial" w:cs="Arial" w:eastAsia="Arial" w:hAnsi="Arial"/>
                <w:sz w:val="17"/>
                <w:szCs w:val="17"/>
                <w:color w:val="auto"/>
              </w:rPr>
              <w:t>4.50 - 4.70</w:t>
            </w:r>
          </w:p>
        </w:tc>
      </w:tr>
      <w:tr>
        <w:trPr>
          <w:trHeight w:val="230"/>
        </w:trPr>
        <w:tc>
          <w:tcPr>
            <w:tcW w:w="2100" w:type="dxa"/>
            <w:vAlign w:val="bottom"/>
          </w:tcPr>
          <w:p>
            <w:pPr>
              <w:jc w:val="center"/>
              <w:ind w:right="495"/>
              <w:spacing w:after="0"/>
              <w:rPr>
                <w:sz w:val="20"/>
                <w:szCs w:val="20"/>
                <w:color w:val="auto"/>
              </w:rPr>
            </w:pPr>
            <w:r>
              <w:rPr>
                <w:rFonts w:ascii="Arial" w:cs="Arial" w:eastAsia="Arial" w:hAnsi="Arial"/>
                <w:sz w:val="17"/>
                <w:szCs w:val="17"/>
                <w:color w:val="auto"/>
              </w:rPr>
              <w:t>4.20 - 4.60</w:t>
            </w:r>
          </w:p>
        </w:tc>
        <w:tc>
          <w:tcPr>
            <w:tcW w:w="2120" w:type="dxa"/>
            <w:vAlign w:val="bottom"/>
          </w:tcPr>
          <w:p>
            <w:pPr>
              <w:jc w:val="right"/>
              <w:ind w:right="275"/>
              <w:spacing w:after="0"/>
              <w:rPr>
                <w:sz w:val="20"/>
                <w:szCs w:val="20"/>
                <w:color w:val="auto"/>
              </w:rPr>
            </w:pPr>
            <w:r>
              <w:rPr>
                <w:rFonts w:ascii="Arial" w:cs="Arial" w:eastAsia="Arial" w:hAnsi="Arial"/>
                <w:sz w:val="17"/>
                <w:szCs w:val="17"/>
                <w:color w:val="auto"/>
              </w:rPr>
              <w:t>3.80 - 4.20</w:t>
            </w:r>
          </w:p>
        </w:tc>
      </w:tr>
      <w:tr>
        <w:trPr>
          <w:trHeight w:val="230"/>
        </w:trPr>
        <w:tc>
          <w:tcPr>
            <w:tcW w:w="2100" w:type="dxa"/>
            <w:vAlign w:val="bottom"/>
          </w:tcPr>
          <w:p>
            <w:pPr>
              <w:jc w:val="center"/>
              <w:ind w:right="495"/>
              <w:spacing w:after="0"/>
              <w:rPr>
                <w:sz w:val="20"/>
                <w:szCs w:val="20"/>
                <w:color w:val="auto"/>
              </w:rPr>
            </w:pPr>
            <w:r>
              <w:rPr>
                <w:rFonts w:ascii="Arial" w:cs="Arial" w:eastAsia="Arial" w:hAnsi="Arial"/>
                <w:sz w:val="17"/>
                <w:szCs w:val="17"/>
                <w:color w:val="auto"/>
                <w:w w:val="95"/>
              </w:rPr>
              <w:t>&gt;5.0</w:t>
            </w:r>
          </w:p>
        </w:tc>
        <w:tc>
          <w:tcPr>
            <w:tcW w:w="2120" w:type="dxa"/>
            <w:vAlign w:val="bottom"/>
          </w:tcPr>
          <w:p>
            <w:pPr>
              <w:jc w:val="center"/>
              <w:ind w:left="475"/>
              <w:spacing w:after="0"/>
              <w:rPr>
                <w:sz w:val="20"/>
                <w:szCs w:val="20"/>
                <w:color w:val="auto"/>
              </w:rPr>
            </w:pPr>
            <w:r>
              <w:rPr>
                <w:rFonts w:ascii="Arial" w:cs="Arial" w:eastAsia="Arial" w:hAnsi="Arial"/>
                <w:sz w:val="17"/>
                <w:szCs w:val="17"/>
                <w:color w:val="auto"/>
                <w:w w:val="96"/>
              </w:rPr>
              <w:t>≥4.5</w:t>
            </w:r>
          </w:p>
        </w:tc>
      </w:tr>
      <w:tr>
        <w:trPr>
          <w:trHeight w:val="229"/>
        </w:trPr>
        <w:tc>
          <w:tcPr>
            <w:tcW w:w="2100" w:type="dxa"/>
            <w:vAlign w:val="bottom"/>
          </w:tcPr>
          <w:p>
            <w:pPr>
              <w:jc w:val="center"/>
              <w:ind w:right="495"/>
              <w:spacing w:after="0"/>
              <w:rPr>
                <w:sz w:val="20"/>
                <w:szCs w:val="20"/>
                <w:color w:val="auto"/>
              </w:rPr>
            </w:pPr>
            <w:r>
              <w:rPr>
                <w:rFonts w:ascii="Arial" w:cs="Arial" w:eastAsia="Arial" w:hAnsi="Arial"/>
                <w:sz w:val="17"/>
                <w:szCs w:val="17"/>
                <w:color w:val="auto"/>
                <w:w w:val="96"/>
              </w:rPr>
              <w:t>≤1.4x</w:t>
            </w:r>
          </w:p>
        </w:tc>
        <w:tc>
          <w:tcPr>
            <w:tcW w:w="2120" w:type="dxa"/>
            <w:vAlign w:val="bottom"/>
          </w:tcPr>
          <w:p>
            <w:pPr>
              <w:jc w:val="center"/>
              <w:ind w:left="475"/>
              <w:spacing w:after="0"/>
              <w:rPr>
                <w:sz w:val="20"/>
                <w:szCs w:val="20"/>
                <w:color w:val="auto"/>
              </w:rPr>
            </w:pPr>
            <w:r>
              <w:rPr>
                <w:rFonts w:ascii="Arial" w:cs="Arial" w:eastAsia="Arial" w:hAnsi="Arial"/>
                <w:sz w:val="17"/>
                <w:szCs w:val="17"/>
                <w:color w:val="auto"/>
                <w:w w:val="96"/>
              </w:rPr>
              <w:t>≤1.8x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-822325</wp:posOffset>
            </wp:positionV>
            <wp:extent cx="6069330" cy="248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69330" cy="248920"/>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-427990</wp:posOffset>
            </wp:positionV>
            <wp:extent cx="606933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69330" cy="146050"/>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-136525</wp:posOffset>
            </wp:positionV>
            <wp:extent cx="606933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69330" cy="145415"/>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4900" w:space="720"/>
            <w:col w:w="5620"/>
          </w:cols>
          <w:pgMar w:left="320" w:top="322" w:right="339" w:bottom="1065" w:gutter="0" w:footer="0" w:header="0"/>
          <w:type w:val="continuous"/>
        </w:sectPr>
      </w:pPr>
    </w:p>
    <w:tbl>
      <w:tblPr>
        <w:tblLayout w:type="fixed"/>
        <w:tblInd w:w="840" w:type="dxa"/>
        <w:tblCellMar>
          <w:top w:w="0" w:type="dxa"/>
          <w:left w:w="0" w:type="dxa"/>
          <w:bottom w:w="0" w:type="dxa"/>
          <w:right w:w="0" w:type="dxa"/>
        </w:tblCellMar>
      </w:tblPr>
      <w:tr>
        <w:trPr>
          <w:trHeight w:val="230"/>
        </w:trPr>
        <w:tc>
          <w:tcPr>
            <w:tcW w:w="4060" w:type="dxa"/>
            <w:vAlign w:val="bottom"/>
            <w:shd w:val="clear" w:color="auto" w:fill="EEEEEE"/>
          </w:tcPr>
          <w:p>
            <w:pPr>
              <w:ind w:left="20"/>
              <w:spacing w:after="0"/>
              <w:rPr>
                <w:sz w:val="20"/>
                <w:szCs w:val="20"/>
                <w:color w:val="auto"/>
              </w:rPr>
            </w:pPr>
            <w:r>
              <w:rPr>
                <w:rFonts w:ascii="Arial" w:cs="Arial" w:eastAsia="Arial" w:hAnsi="Arial"/>
                <w:sz w:val="17"/>
                <w:szCs w:val="17"/>
                <w:b w:val="1"/>
                <w:bCs w:val="1"/>
                <w:color w:val="auto"/>
              </w:rPr>
              <w:t>Assumptions</w:t>
            </w:r>
          </w:p>
        </w:tc>
        <w:tc>
          <w:tcPr>
            <w:tcW w:w="2380" w:type="dxa"/>
            <w:vAlign w:val="bottom"/>
            <w:shd w:val="clear" w:color="auto" w:fill="EEEEEE"/>
          </w:tcPr>
          <w:p>
            <w:pPr>
              <w:spacing w:after="0"/>
              <w:rPr>
                <w:sz w:val="19"/>
                <w:szCs w:val="19"/>
                <w:color w:val="auto"/>
              </w:rPr>
            </w:pPr>
          </w:p>
        </w:tc>
        <w:tc>
          <w:tcPr>
            <w:tcW w:w="3120" w:type="dxa"/>
            <w:vAlign w:val="bottom"/>
            <w:shd w:val="clear" w:color="auto" w:fill="EEEEEE"/>
          </w:tcPr>
          <w:p>
            <w:pPr>
              <w:spacing w:after="0"/>
              <w:rPr>
                <w:sz w:val="19"/>
                <w:szCs w:val="19"/>
                <w:color w:val="auto"/>
              </w:rPr>
            </w:pPr>
          </w:p>
        </w:tc>
      </w:tr>
      <w:tr>
        <w:trPr>
          <w:trHeight w:val="227"/>
        </w:trPr>
        <w:tc>
          <w:tcPr>
            <w:tcW w:w="4060" w:type="dxa"/>
            <w:vAlign w:val="bottom"/>
          </w:tcPr>
          <w:p>
            <w:pPr>
              <w:ind w:left="20"/>
              <w:spacing w:after="0"/>
              <w:rPr>
                <w:sz w:val="20"/>
                <w:szCs w:val="20"/>
                <w:color w:val="auto"/>
              </w:rPr>
            </w:pPr>
            <w:r>
              <w:rPr>
                <w:rFonts w:ascii="Arial" w:cs="Arial" w:eastAsia="Arial" w:hAnsi="Arial"/>
                <w:sz w:val="17"/>
                <w:szCs w:val="17"/>
                <w:color w:val="auto"/>
              </w:rPr>
              <w:t>Average exchange rate (BRL/USD)</w:t>
            </w:r>
          </w:p>
        </w:tc>
        <w:tc>
          <w:tcPr>
            <w:tcW w:w="2380" w:type="dxa"/>
            <w:vAlign w:val="bottom"/>
          </w:tcPr>
          <w:p>
            <w:pPr>
              <w:jc w:val="right"/>
              <w:ind w:right="695"/>
              <w:spacing w:after="0"/>
              <w:rPr>
                <w:sz w:val="20"/>
                <w:szCs w:val="20"/>
                <w:color w:val="auto"/>
              </w:rPr>
            </w:pPr>
            <w:r>
              <w:rPr>
                <w:rFonts w:ascii="Arial" w:cs="Arial" w:eastAsia="Arial" w:hAnsi="Arial"/>
                <w:sz w:val="17"/>
                <w:szCs w:val="17"/>
                <w:color w:val="auto"/>
              </w:rPr>
              <w:t>5.5</w:t>
            </w:r>
          </w:p>
        </w:tc>
        <w:tc>
          <w:tcPr>
            <w:tcW w:w="3120" w:type="dxa"/>
            <w:vAlign w:val="bottom"/>
          </w:tcPr>
          <w:p>
            <w:pPr>
              <w:jc w:val="right"/>
              <w:ind w:right="1095"/>
              <w:spacing w:after="0"/>
              <w:rPr>
                <w:sz w:val="20"/>
                <w:szCs w:val="20"/>
                <w:color w:val="auto"/>
              </w:rPr>
            </w:pPr>
            <w:r>
              <w:rPr>
                <w:rFonts w:ascii="Arial" w:cs="Arial" w:eastAsia="Arial" w:hAnsi="Arial"/>
                <w:sz w:val="17"/>
                <w:szCs w:val="17"/>
                <w:color w:val="auto"/>
              </w:rPr>
              <w:t>5.15</w:t>
            </w:r>
          </w:p>
        </w:tc>
      </w:tr>
      <w:tr>
        <w:trPr>
          <w:trHeight w:val="232"/>
        </w:trPr>
        <w:tc>
          <w:tcPr>
            <w:tcW w:w="4060" w:type="dxa"/>
            <w:vAlign w:val="bottom"/>
            <w:shd w:val="clear" w:color="auto" w:fill="EEEEEE"/>
          </w:tcPr>
          <w:p>
            <w:pPr>
              <w:ind w:left="20"/>
              <w:spacing w:after="0" w:line="232" w:lineRule="exact"/>
              <w:rPr>
                <w:sz w:val="20"/>
                <w:szCs w:val="20"/>
                <w:color w:val="auto"/>
              </w:rPr>
            </w:pPr>
            <w:r>
              <w:rPr>
                <w:rFonts w:ascii="Arial" w:cs="Arial" w:eastAsia="Arial" w:hAnsi="Arial"/>
                <w:sz w:val="17"/>
                <w:szCs w:val="17"/>
                <w:color w:val="auto"/>
              </w:rPr>
              <w:t>Jet fuel price</w:t>
            </w:r>
            <w:r>
              <w:rPr>
                <w:rFonts w:ascii="Arial" w:cs="Arial" w:eastAsia="Arial" w:hAnsi="Arial"/>
                <w:sz w:val="22"/>
                <w:szCs w:val="22"/>
                <w:color w:val="auto"/>
                <w:vertAlign w:val="superscript"/>
              </w:rPr>
              <w:t>5</w:t>
            </w:r>
            <w:r>
              <w:rPr>
                <w:rFonts w:ascii="Arial" w:cs="Arial" w:eastAsia="Arial" w:hAnsi="Arial"/>
                <w:sz w:val="17"/>
                <w:szCs w:val="17"/>
                <w:color w:val="auto"/>
              </w:rPr>
              <w:t xml:space="preserve"> (US$/bbl)</w:t>
            </w:r>
          </w:p>
        </w:tc>
        <w:tc>
          <w:tcPr>
            <w:tcW w:w="2380" w:type="dxa"/>
            <w:vAlign w:val="bottom"/>
            <w:shd w:val="clear" w:color="auto" w:fill="EEEEEE"/>
          </w:tcPr>
          <w:p>
            <w:pPr>
              <w:jc w:val="right"/>
              <w:ind w:right="715"/>
              <w:spacing w:after="0"/>
              <w:rPr>
                <w:sz w:val="20"/>
                <w:szCs w:val="20"/>
                <w:color w:val="auto"/>
              </w:rPr>
            </w:pPr>
            <w:r>
              <w:rPr>
                <w:rFonts w:ascii="Arial" w:cs="Arial" w:eastAsia="Arial" w:hAnsi="Arial"/>
                <w:sz w:val="17"/>
                <w:szCs w:val="17"/>
                <w:color w:val="auto"/>
              </w:rPr>
              <w:t>90</w:t>
            </w:r>
          </w:p>
        </w:tc>
        <w:tc>
          <w:tcPr>
            <w:tcW w:w="3120" w:type="dxa"/>
            <w:vAlign w:val="bottom"/>
            <w:shd w:val="clear" w:color="auto" w:fill="EEEEEE"/>
          </w:tcPr>
          <w:p>
            <w:pPr>
              <w:jc w:val="center"/>
              <w:ind w:left="355"/>
              <w:spacing w:after="0"/>
              <w:rPr>
                <w:sz w:val="20"/>
                <w:szCs w:val="20"/>
                <w:color w:val="auto"/>
              </w:rPr>
            </w:pPr>
            <w:r>
              <w:rPr>
                <w:rFonts w:ascii="Arial" w:cs="Arial" w:eastAsia="Arial" w:hAnsi="Arial"/>
                <w:sz w:val="17"/>
                <w:szCs w:val="17"/>
                <w:color w:val="auto"/>
              </w:rPr>
              <w:t>Q2:170 | Q3:170 | Q4:150</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60" w:firstLine="8"/>
        <w:spacing w:after="0" w:line="322" w:lineRule="auto"/>
        <w:tabs>
          <w:tab w:leader="none" w:pos="174" w:val="left"/>
        </w:tabs>
        <w:numPr>
          <w:ilvl w:val="0"/>
          <w:numId w:val="8"/>
        </w:numPr>
        <w:rPr>
          <w:rFonts w:ascii="Arial" w:cs="Arial" w:eastAsia="Arial" w:hAnsi="Arial"/>
          <w:sz w:val="14"/>
          <w:szCs w:val="14"/>
          <w:color w:val="6D6D6D"/>
        </w:rPr>
      </w:pPr>
      <w:r>
        <w:rPr>
          <w:rFonts w:ascii="Arial" w:cs="Arial" w:eastAsia="Arial" w:hAnsi="Arial"/>
          <w:sz w:val="14"/>
          <w:szCs w:val="14"/>
          <w:color w:val="6D6D6D"/>
        </w:rPr>
        <w:t>Adjusted CASK ex-fuel includes adjustments to add back the effect of other gains and losses and employee compensations associated with the Corporate Incentive Plan. Adjusted Passenger CASK ex fuel is further adjusted to exclude cargo costs associated with belly and freighter operations.</w:t>
      </w:r>
    </w:p>
    <w:p>
      <w:pPr>
        <w:ind w:right="160" w:firstLine="8"/>
        <w:spacing w:after="0" w:line="282" w:lineRule="auto"/>
        <w:tabs>
          <w:tab w:leader="none" w:pos="176" w:val="left"/>
        </w:tabs>
        <w:numPr>
          <w:ilvl w:val="0"/>
          <w:numId w:val="8"/>
        </w:numPr>
        <w:rPr>
          <w:rFonts w:ascii="Arial" w:cs="Arial" w:eastAsia="Arial" w:hAnsi="Arial"/>
          <w:sz w:val="14"/>
          <w:szCs w:val="14"/>
          <w:color w:val="6D6D6D"/>
        </w:rPr>
      </w:pPr>
      <w:r>
        <w:rPr>
          <w:rFonts w:ascii="Arial" w:cs="Arial" w:eastAsia="Arial" w:hAnsi="Arial"/>
          <w:sz w:val="14"/>
          <w:szCs w:val="14"/>
          <w:color w:val="6D6D6D"/>
        </w:rPr>
        <w:t>Adjusted EBITDA excludes other gains and losses and employee compensations associated with the Corporate Incentive Plan, and is further adjusted to exclude foreign exchange gains and results of indexation units.</w:t>
      </w:r>
    </w:p>
    <w:p>
      <w:pPr>
        <w:ind w:right="160" w:firstLine="8"/>
        <w:spacing w:after="0" w:line="321" w:lineRule="auto"/>
        <w:tabs>
          <w:tab w:leader="none" w:pos="170" w:val="left"/>
        </w:tabs>
        <w:numPr>
          <w:ilvl w:val="0"/>
          <w:numId w:val="8"/>
        </w:numPr>
        <w:rPr>
          <w:rFonts w:ascii="Arial" w:cs="Arial" w:eastAsia="Arial" w:hAnsi="Arial"/>
          <w:sz w:val="14"/>
          <w:szCs w:val="14"/>
          <w:color w:val="6D6D6D"/>
        </w:rPr>
      </w:pPr>
      <w:r>
        <w:rPr>
          <w:rFonts w:ascii="Arial" w:cs="Arial" w:eastAsia="Arial" w:hAnsi="Arial"/>
          <w:sz w:val="14"/>
          <w:szCs w:val="14"/>
          <w:color w:val="6D6D6D"/>
        </w:rPr>
        <w:t>Liquidity is defined as Cash and Cash Equivalents and undrawn, committed revolving credit facilities. Assumes a minimum statutory dividend distribution equivalent to 30% of net income.</w:t>
      </w:r>
    </w:p>
    <w:p>
      <w:pPr>
        <w:ind w:right="160" w:firstLine="8"/>
        <w:spacing w:after="0" w:line="322" w:lineRule="auto"/>
        <w:tabs>
          <w:tab w:leader="none" w:pos="174" w:val="left"/>
        </w:tabs>
        <w:numPr>
          <w:ilvl w:val="0"/>
          <w:numId w:val="8"/>
        </w:numPr>
        <w:rPr>
          <w:rFonts w:ascii="Arial" w:cs="Arial" w:eastAsia="Arial" w:hAnsi="Arial"/>
          <w:sz w:val="14"/>
          <w:szCs w:val="14"/>
          <w:color w:val="6D6D6D"/>
        </w:rPr>
      </w:pPr>
      <w:r>
        <w:rPr>
          <w:rFonts w:ascii="Arial" w:cs="Arial" w:eastAsia="Arial" w:hAnsi="Arial"/>
          <w:sz w:val="14"/>
          <w:szCs w:val="14"/>
          <w:color w:val="6D6D6D"/>
        </w:rPr>
        <w:t>Total Net Debt includes operating lease liabilities, finance leases and other financial debt, and net of Cash and Cash Equivalents. Assumes a minimum statutory dividend distribution equivalent to 30% of net income.</w:t>
      </w:r>
    </w:p>
    <w:p>
      <w:pPr>
        <w:ind w:left="180" w:hanging="172"/>
        <w:spacing w:after="0"/>
        <w:tabs>
          <w:tab w:leader="none" w:pos="180" w:val="left"/>
        </w:tabs>
        <w:numPr>
          <w:ilvl w:val="0"/>
          <w:numId w:val="8"/>
        </w:numPr>
        <w:rPr>
          <w:rFonts w:ascii="Arial" w:cs="Arial" w:eastAsia="Arial" w:hAnsi="Arial"/>
          <w:sz w:val="14"/>
          <w:szCs w:val="14"/>
          <w:color w:val="6D6D6D"/>
        </w:rPr>
      </w:pPr>
      <w:r>
        <w:rPr>
          <w:rFonts w:ascii="Arial" w:cs="Arial" w:eastAsia="Arial" w:hAnsi="Arial"/>
          <w:sz w:val="14"/>
          <w:szCs w:val="14"/>
          <w:color w:val="6D6D6D"/>
        </w:rPr>
        <w:t>The jet fuel price projection does not include into-wing cost.</w:t>
      </w:r>
    </w:p>
    <w:p>
      <w:pPr>
        <w:spacing w:after="0" w:line="372" w:lineRule="exact"/>
        <w:rPr>
          <w:sz w:val="20"/>
          <w:szCs w:val="20"/>
          <w:color w:val="auto"/>
        </w:rPr>
      </w:pPr>
    </w:p>
    <w:p>
      <w:pPr>
        <w:jc w:val="both"/>
        <w:ind w:right="160"/>
        <w:spacing w:after="0" w:line="269" w:lineRule="auto"/>
        <w:rPr>
          <w:sz w:val="20"/>
          <w:szCs w:val="20"/>
          <w:color w:val="auto"/>
        </w:rPr>
      </w:pPr>
      <w:r>
        <w:rPr>
          <w:rFonts w:ascii="Arial" w:cs="Arial" w:eastAsia="Arial" w:hAnsi="Arial"/>
          <w:sz w:val="13"/>
          <w:szCs w:val="13"/>
          <w:i w:val="1"/>
          <w:iCs w:val="1"/>
          <w:color w:val="6D6D6D"/>
        </w:rPr>
        <w:t>Note on forward-looking assumptions, outlooks and expectations are not facts but rather a good faith estimate of reality based on selected information believed to be reasonable. However, reality may differ from assumptions, outlooks and expectations. This report also contains forward-looking statements. Such statements may contain words such as “could,” “will,” “expect,” “intend,” “anticipate,” “estimate,” “project,” “believe” or other similar expressions. Forward-looking statements are statements that are not historical facts, including statements about our beliefs and expectations. These statements are based on LATAM's current plans, estimates and projections and, therefore, you should not place undue reliance on such statements or the estimates arising from them. Forward-looking statements involve known and unknown inherent risks, uncertainties and other factors, many of which are beyond LATAM's control and are difficult to predict. We caution you that a number of important factors could cause actual results to differ materially from those contained in any forward-looking statements. The financial information contained herein does not constitute or replace in any way the submission of the corresponding financial statements of the Commission for the Financial Market (CMF) and the market, in terms of their content requirements, applicable procedures and deadlines of submission corresponding to the CMF in accordance with current regulations. These factors and uncertainties include in particular those described in documents we have filed with the United States Securities and Exchange Commission. Forward-looking statements speak only as of the date they are made, and we undertake no obligation to publicly update any of them, whether as a result of new information, future events or any other factor. Our results may not be indicative of future performance, which remains subject to a number of uncertainties, including the risks disclosed in our annual report on Form 20-F, which was filed on March 3, 2026, and in our Annual Integrated Report filed April 2026, and especially the risks and uncertainties associated with global developments, including the conflicts in the Middle East. In addition, as disclosed in our annual report on Form 20-F, our business is seasonal and our passenger revenues are generally higher in the first and fourth quarters of each year, during the Southern Hemisphere’s spring and summer. Finally, demand for air travel and cargo services is influenced by a number of factors beyond our control, including global, regional and national political and socioeconomic developments as well as changes in our competitive landscape, all of which could have a material impact on our ability to achieve the guidance disclosed herein.</w:t>
      </w:r>
    </w:p>
    <w:p>
      <w:pPr>
        <w:sectPr>
          <w:pgSz w:w="11900" w:h="16838" w:orient="portrait"/>
          <w:cols w:equalWidth="0" w:num="1">
            <w:col w:w="11240"/>
          </w:cols>
          <w:pgMar w:left="320" w:top="322" w:right="339" w:bottom="106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7F7F7F"/>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586359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63590" cy="68580"/>
                    </a:xfrm>
                    <a:prstGeom prst="rect">
                      <a:avLst/>
                    </a:prstGeom>
                    <a:noFill/>
                  </pic:spPr>
                </pic:pic>
              </a:graphicData>
            </a:graphic>
          </wp:anchor>
        </w:drawing>
      </w:r>
    </w:p>
    <w:p>
      <w:pPr>
        <w:sectPr>
          <w:pgSz w:w="11900" w:h="16838" w:orient="portrait"/>
          <w:cols w:equalWidth="0" w:num="1">
            <w:col w:w="11240"/>
          </w:cols>
          <w:pgMar w:left="320" w:top="322" w:right="339" w:bottom="1065" w:gutter="0" w:footer="0" w:header="0"/>
          <w:type w:val="continuous"/>
        </w:sectPr>
      </w:pPr>
    </w:p>
    <w:bookmarkStart w:id="11" w:name="page12"/>
    <w:bookmarkEnd w:id="11"/>
    <w:p>
      <w:pPr>
        <w:ind w:left="140" w:right="10120"/>
        <w:spacing w:after="0" w:line="249" w:lineRule="auto"/>
        <w:rPr>
          <w:sz w:val="20"/>
          <w:szCs w:val="20"/>
          <w:color w:val="auto"/>
        </w:rPr>
      </w:pPr>
      <w:r>
        <w:rPr>
          <w:rFonts w:ascii="Arial" w:cs="Arial" w:eastAsia="Arial" w:hAnsi="Arial"/>
          <w:sz w:val="25"/>
          <w:szCs w:val="25"/>
          <w:i w:val="1"/>
          <w:i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5829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582930"/>
                    </a:xfrm>
                    <a:prstGeom prst="rect">
                      <a:avLst/>
                    </a:prstGeom>
                    <a:noFill/>
                  </pic:spPr>
                </pic:pic>
              </a:graphicData>
            </a:graphic>
          </wp:anchor>
        </w:drawing>
        <w:t>1Q 2026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1B0088"/>
        </w:rPr>
        <w:t>FINANCIAL STATEMENTS PUBLICATION AND CONFERENCE CALL</w:t>
      </w:r>
    </w:p>
    <w:p>
      <w:pPr>
        <w:spacing w:after="0" w:line="230"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LATAM Airlines Group S.A. filed its financial statements for the period ended March 31, 2026 with the Comisión para el Mercado Financiero (CMF) of Chile on May 5, 2026. These financial statements are available in Spanish and English at ir.latam.com For further inquiries, please contact the Investor Relations team at InvestorRelations@latam.com.</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The Company will hold a conference call to discuss the first quarter 2026 financial results on May 6, 2026, at 8:00 am ET /Santiago.</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Webcast Link: </w:t>
      </w:r>
      <w:r>
        <w:rPr>
          <w:rFonts w:ascii="Arial" w:cs="Arial" w:eastAsia="Arial" w:hAnsi="Arial"/>
          <w:sz w:val="19"/>
          <w:szCs w:val="19"/>
          <w:color w:val="auto"/>
        </w:rPr>
        <w:t>Click here</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Participant Call Link: </w:t>
      </w:r>
      <w:r>
        <w:rPr>
          <w:rFonts w:ascii="Arial" w:cs="Arial" w:eastAsia="Arial" w:hAnsi="Arial"/>
          <w:sz w:val="19"/>
          <w:szCs w:val="19"/>
          <w:color w:val="auto"/>
        </w:rPr>
        <w:t>Click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666666"/>
        </w:rPr>
        <w:t>About LATAM Airlines Group S.A.:</w:t>
      </w:r>
    </w:p>
    <w:p>
      <w:pPr>
        <w:spacing w:after="0" w:line="231"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666666"/>
        </w:rPr>
        <w:t>LATAM Airlines Group S.A. and its affiliates are the principal group of airlines in Latin America present in five domestic markets in the region: Brazil, Chile, Colombia, Ecuador and Peru, in addition to international operations within Latin America and to / from Europe, the United States, Oceania, Africa and the Caribbean.</w:t>
      </w:r>
    </w:p>
    <w:p>
      <w:pPr>
        <w:spacing w:after="0" w:line="185"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666666"/>
        </w:rPr>
        <w:t>The group has a fleet of Boeing 767, 777, 787, Airbus A321, A321Neo, A320, A320Neo, and A319 aircraft. Additionally, the Airbus 330, operated under short-term leases, is also part of the current operations.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666666"/>
        </w:rPr>
        <w:t>LATAM Cargo Chile, LATAM Cargo Colombia and LATAM Cargo Brazil are the LATAM group cargo subsidiaries. In addition to having access to the bellies of the passenger affiliates's aircraft, they have a fleet of 20 freighters. They operate on the LATAM group network as well as international routes that are exclusively operated by freighters. They offer modern infrastructure, a wide variety of services and protection options to meet all customer needs.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666666"/>
        </w:rPr>
        <w:t>For LATAM press inquiries, please write to comunicaciones.externas@latam.com. Additional financial information is available at ir.latam.com.</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7F7F7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86359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63590" cy="6858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2" w:name="page13"/>
    <w:bookmarkEnd w:id="12"/>
    <w:p>
      <w:pPr>
        <w:ind w:left="140" w:right="10120"/>
        <w:spacing w:after="0" w:line="249" w:lineRule="auto"/>
        <w:rPr>
          <w:sz w:val="20"/>
          <w:szCs w:val="20"/>
          <w:color w:val="auto"/>
        </w:rPr>
      </w:pPr>
      <w:r>
        <w:rPr>
          <w:rFonts w:ascii="Arial" w:cs="Arial" w:eastAsia="Arial" w:hAnsi="Arial"/>
          <w:sz w:val="25"/>
          <w:szCs w:val="25"/>
          <w:i w:val="1"/>
          <w:i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5829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582930"/>
                    </a:xfrm>
                    <a:prstGeom prst="rect">
                      <a:avLst/>
                    </a:prstGeom>
                    <a:noFill/>
                  </pic:spPr>
                </pic:pic>
              </a:graphicData>
            </a:graphic>
          </wp:anchor>
        </w:drawing>
        <w:t>1Q 2026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LATAM Airlines Group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Operational Statistics</w:t>
      </w:r>
    </w:p>
    <w:p>
      <w:pPr>
        <w:spacing w:after="0" w:line="200" w:lineRule="exact"/>
        <w:rPr>
          <w:sz w:val="20"/>
          <w:szCs w:val="20"/>
          <w:color w:val="auto"/>
        </w:rPr>
      </w:pPr>
    </w:p>
    <w:p>
      <w:pPr>
        <w:spacing w:after="0" w:line="341"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4000" w:type="dxa"/>
            <w:vAlign w:val="bottom"/>
            <w:shd w:val="clear" w:color="auto" w:fill="1B0088"/>
          </w:tcPr>
          <w:p>
            <w:pPr>
              <w:spacing w:after="0"/>
              <w:rPr>
                <w:sz w:val="17"/>
                <w:szCs w:val="17"/>
                <w:color w:val="auto"/>
              </w:rPr>
            </w:pPr>
          </w:p>
        </w:tc>
        <w:tc>
          <w:tcPr>
            <w:tcW w:w="1760" w:type="dxa"/>
            <w:vAlign w:val="bottom"/>
            <w:shd w:val="clear" w:color="auto" w:fill="1B0088"/>
          </w:tcPr>
          <w:p>
            <w:pPr>
              <w:spacing w:after="0"/>
              <w:rPr>
                <w:sz w:val="17"/>
                <w:szCs w:val="17"/>
                <w:color w:val="auto"/>
              </w:rPr>
            </w:pPr>
          </w:p>
        </w:tc>
        <w:tc>
          <w:tcPr>
            <w:tcW w:w="3480" w:type="dxa"/>
            <w:vAlign w:val="bottom"/>
            <w:shd w:val="clear" w:color="auto" w:fill="1B0088"/>
          </w:tcPr>
          <w:p>
            <w:pPr>
              <w:ind w:left="380"/>
              <w:spacing w:after="0"/>
              <w:rPr>
                <w:sz w:val="20"/>
                <w:szCs w:val="20"/>
                <w:color w:val="auto"/>
              </w:rPr>
            </w:pPr>
            <w:r>
              <w:rPr>
                <w:rFonts w:ascii="Arial" w:cs="Arial" w:eastAsia="Arial" w:hAnsi="Arial"/>
                <w:sz w:val="14"/>
                <w:szCs w:val="14"/>
                <w:color w:val="FFFFFF"/>
              </w:rPr>
              <w:t>For the three month period ended March 31</w:t>
            </w:r>
          </w:p>
        </w:tc>
        <w:tc>
          <w:tcPr>
            <w:tcW w:w="1840" w:type="dxa"/>
            <w:vAlign w:val="bottom"/>
            <w:shd w:val="clear" w:color="auto" w:fill="1B0088"/>
          </w:tcPr>
          <w:p>
            <w:pPr>
              <w:spacing w:after="0"/>
              <w:rPr>
                <w:sz w:val="17"/>
                <w:szCs w:val="17"/>
                <w:color w:val="auto"/>
              </w:rPr>
            </w:pPr>
          </w:p>
        </w:tc>
      </w:tr>
      <w:tr>
        <w:trPr>
          <w:trHeight w:val="203"/>
        </w:trPr>
        <w:tc>
          <w:tcPr>
            <w:tcW w:w="4000" w:type="dxa"/>
            <w:vAlign w:val="bottom"/>
            <w:shd w:val="clear" w:color="auto" w:fill="1B0088"/>
          </w:tcPr>
          <w:p>
            <w:pPr>
              <w:spacing w:after="0"/>
              <w:rPr>
                <w:sz w:val="17"/>
                <w:szCs w:val="17"/>
                <w:color w:val="auto"/>
              </w:rPr>
            </w:pPr>
          </w:p>
        </w:tc>
        <w:tc>
          <w:tcPr>
            <w:tcW w:w="1760" w:type="dxa"/>
            <w:vAlign w:val="bottom"/>
            <w:shd w:val="clear" w:color="auto" w:fill="1B0088"/>
          </w:tcPr>
          <w:p>
            <w:pPr>
              <w:jc w:val="center"/>
              <w:ind w:left="528"/>
              <w:spacing w:after="0"/>
              <w:rPr>
                <w:sz w:val="20"/>
                <w:szCs w:val="20"/>
                <w:color w:val="auto"/>
              </w:rPr>
            </w:pPr>
            <w:r>
              <w:rPr>
                <w:rFonts w:ascii="Arial" w:cs="Arial" w:eastAsia="Arial" w:hAnsi="Arial"/>
                <w:sz w:val="14"/>
                <w:szCs w:val="14"/>
                <w:color w:val="FFFFFF"/>
              </w:rPr>
              <w:t>2026</w:t>
            </w:r>
          </w:p>
        </w:tc>
        <w:tc>
          <w:tcPr>
            <w:tcW w:w="3480" w:type="dxa"/>
            <w:vAlign w:val="bottom"/>
            <w:shd w:val="clear" w:color="auto" w:fill="1B0088"/>
          </w:tcPr>
          <w:p>
            <w:pPr>
              <w:jc w:val="center"/>
              <w:spacing w:after="0"/>
              <w:rPr>
                <w:sz w:val="20"/>
                <w:szCs w:val="20"/>
                <w:color w:val="auto"/>
              </w:rPr>
            </w:pPr>
            <w:r>
              <w:rPr>
                <w:rFonts w:ascii="Arial" w:cs="Arial" w:eastAsia="Arial" w:hAnsi="Arial"/>
                <w:sz w:val="14"/>
                <w:szCs w:val="14"/>
                <w:color w:val="FFFFFF"/>
              </w:rPr>
              <w:t>2025</w:t>
            </w:r>
          </w:p>
        </w:tc>
        <w:tc>
          <w:tcPr>
            <w:tcW w:w="1840" w:type="dxa"/>
            <w:vAlign w:val="bottom"/>
            <w:shd w:val="clear" w:color="auto" w:fill="1B0088"/>
          </w:tcPr>
          <w:p>
            <w:pPr>
              <w:ind w:left="300"/>
              <w:spacing w:after="0"/>
              <w:rPr>
                <w:sz w:val="20"/>
                <w:szCs w:val="20"/>
                <w:color w:val="auto"/>
              </w:rPr>
            </w:pPr>
            <w:r>
              <w:rPr>
                <w:rFonts w:ascii="Arial" w:cs="Arial" w:eastAsia="Arial" w:hAnsi="Arial"/>
                <w:sz w:val="14"/>
                <w:szCs w:val="14"/>
                <w:b w:val="1"/>
                <w:bCs w:val="1"/>
                <w:color w:val="FFFFFF"/>
              </w:rPr>
              <w:t>% Change</w:t>
            </w:r>
          </w:p>
        </w:tc>
      </w:tr>
      <w:tr>
        <w:trPr>
          <w:trHeight w:val="162"/>
        </w:trPr>
        <w:tc>
          <w:tcPr>
            <w:tcW w:w="40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r>
      <w:tr>
        <w:trPr>
          <w:trHeight w:val="194"/>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System</w:t>
            </w:r>
          </w:p>
        </w:tc>
        <w:tc>
          <w:tcPr>
            <w:tcW w:w="17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97"/>
        </w:trPr>
        <w:tc>
          <w:tcPr>
            <w:tcW w:w="4000" w:type="dxa"/>
            <w:vAlign w:val="bottom"/>
          </w:tcPr>
          <w:p>
            <w:pPr>
              <w:ind w:left="20"/>
              <w:spacing w:after="0"/>
              <w:rPr>
                <w:sz w:val="20"/>
                <w:szCs w:val="20"/>
                <w:color w:val="auto"/>
              </w:rPr>
            </w:pPr>
            <w:r>
              <w:rPr>
                <w:rFonts w:ascii="Arial" w:cs="Arial" w:eastAsia="Arial" w:hAnsi="Arial"/>
                <w:sz w:val="14"/>
                <w:szCs w:val="14"/>
                <w:color w:val="auto"/>
              </w:rPr>
              <w:t>Costs per ASK (US$ cents)</w:t>
            </w:r>
          </w:p>
        </w:tc>
        <w:tc>
          <w:tcPr>
            <w:tcW w:w="1760" w:type="dxa"/>
            <w:vAlign w:val="bottom"/>
          </w:tcPr>
          <w:p>
            <w:pPr>
              <w:jc w:val="center"/>
              <w:ind w:left="528"/>
              <w:spacing w:after="0"/>
              <w:rPr>
                <w:sz w:val="20"/>
                <w:szCs w:val="20"/>
                <w:color w:val="auto"/>
              </w:rPr>
            </w:pPr>
            <w:r>
              <w:rPr>
                <w:rFonts w:ascii="Arial" w:cs="Arial" w:eastAsia="Arial" w:hAnsi="Arial"/>
                <w:sz w:val="14"/>
                <w:szCs w:val="14"/>
                <w:color w:val="auto"/>
              </w:rPr>
              <w:t>7.3</w:t>
            </w:r>
          </w:p>
        </w:tc>
        <w:tc>
          <w:tcPr>
            <w:tcW w:w="3480" w:type="dxa"/>
            <w:vAlign w:val="bottom"/>
          </w:tcPr>
          <w:p>
            <w:pPr>
              <w:jc w:val="center"/>
              <w:spacing w:after="0"/>
              <w:rPr>
                <w:sz w:val="20"/>
                <w:szCs w:val="20"/>
                <w:color w:val="auto"/>
              </w:rPr>
            </w:pPr>
            <w:r>
              <w:rPr>
                <w:rFonts w:ascii="Arial" w:cs="Arial" w:eastAsia="Arial" w:hAnsi="Arial"/>
                <w:sz w:val="14"/>
                <w:szCs w:val="14"/>
                <w:color w:val="auto"/>
              </w:rPr>
              <w:t>6.9</w:t>
            </w:r>
          </w:p>
        </w:tc>
        <w:tc>
          <w:tcPr>
            <w:tcW w:w="1840" w:type="dxa"/>
            <w:vAlign w:val="bottom"/>
          </w:tcPr>
          <w:p>
            <w:pPr>
              <w:jc w:val="center"/>
              <w:ind w:right="468"/>
              <w:spacing w:after="0"/>
              <w:rPr>
                <w:sz w:val="20"/>
                <w:szCs w:val="20"/>
                <w:color w:val="auto"/>
              </w:rPr>
            </w:pPr>
            <w:r>
              <w:rPr>
                <w:rFonts w:ascii="Arial" w:cs="Arial" w:eastAsia="Arial" w:hAnsi="Arial"/>
                <w:sz w:val="14"/>
                <w:szCs w:val="14"/>
                <w:color w:val="auto"/>
              </w:rPr>
              <w:t>6.1%</w:t>
            </w:r>
          </w:p>
        </w:tc>
      </w:tr>
      <w:tr>
        <w:trPr>
          <w:trHeight w:val="203"/>
        </w:trPr>
        <w:tc>
          <w:tcPr>
            <w:tcW w:w="4000" w:type="dxa"/>
            <w:vAlign w:val="bottom"/>
          </w:tcPr>
          <w:p>
            <w:pPr>
              <w:ind w:left="20"/>
              <w:spacing w:after="0"/>
              <w:rPr>
                <w:sz w:val="20"/>
                <w:szCs w:val="20"/>
                <w:color w:val="auto"/>
              </w:rPr>
            </w:pPr>
            <w:r>
              <w:rPr>
                <w:rFonts w:ascii="Arial" w:cs="Arial" w:eastAsia="Arial" w:hAnsi="Arial"/>
                <w:sz w:val="14"/>
                <w:szCs w:val="14"/>
                <w:color w:val="auto"/>
              </w:rPr>
              <w:t>Adjusted Costs per ASK (US$ cents)</w:t>
            </w:r>
          </w:p>
        </w:tc>
        <w:tc>
          <w:tcPr>
            <w:tcW w:w="1760" w:type="dxa"/>
            <w:vAlign w:val="bottom"/>
          </w:tcPr>
          <w:p>
            <w:pPr>
              <w:jc w:val="center"/>
              <w:ind w:left="528"/>
              <w:spacing w:after="0"/>
              <w:rPr>
                <w:sz w:val="20"/>
                <w:szCs w:val="20"/>
                <w:color w:val="auto"/>
              </w:rPr>
            </w:pPr>
            <w:r>
              <w:rPr>
                <w:rFonts w:ascii="Arial" w:cs="Arial" w:eastAsia="Arial" w:hAnsi="Arial"/>
                <w:sz w:val="14"/>
                <w:szCs w:val="14"/>
                <w:color w:val="auto"/>
              </w:rPr>
              <w:t>7.3</w:t>
            </w:r>
          </w:p>
        </w:tc>
        <w:tc>
          <w:tcPr>
            <w:tcW w:w="3480" w:type="dxa"/>
            <w:vAlign w:val="bottom"/>
          </w:tcPr>
          <w:p>
            <w:pPr>
              <w:jc w:val="center"/>
              <w:spacing w:after="0"/>
              <w:rPr>
                <w:sz w:val="20"/>
                <w:szCs w:val="20"/>
                <w:color w:val="auto"/>
              </w:rPr>
            </w:pPr>
            <w:r>
              <w:rPr>
                <w:rFonts w:ascii="Arial" w:cs="Arial" w:eastAsia="Arial" w:hAnsi="Arial"/>
                <w:sz w:val="14"/>
                <w:szCs w:val="14"/>
                <w:color w:val="auto"/>
              </w:rPr>
              <w:t>6.9</w:t>
            </w:r>
          </w:p>
        </w:tc>
        <w:tc>
          <w:tcPr>
            <w:tcW w:w="1840" w:type="dxa"/>
            <w:vAlign w:val="bottom"/>
          </w:tcPr>
          <w:p>
            <w:pPr>
              <w:jc w:val="center"/>
              <w:ind w:right="468"/>
              <w:spacing w:after="0"/>
              <w:rPr>
                <w:sz w:val="20"/>
                <w:szCs w:val="20"/>
                <w:color w:val="auto"/>
              </w:rPr>
            </w:pPr>
            <w:r>
              <w:rPr>
                <w:rFonts w:ascii="Arial" w:cs="Arial" w:eastAsia="Arial" w:hAnsi="Arial"/>
                <w:sz w:val="14"/>
                <w:szCs w:val="14"/>
                <w:color w:val="auto"/>
              </w:rPr>
              <w:t>6.3%</w:t>
            </w:r>
          </w:p>
        </w:tc>
      </w:tr>
      <w:tr>
        <w:trPr>
          <w:trHeight w:val="203"/>
        </w:trPr>
        <w:tc>
          <w:tcPr>
            <w:tcW w:w="4000" w:type="dxa"/>
            <w:vAlign w:val="bottom"/>
          </w:tcPr>
          <w:p>
            <w:pPr>
              <w:ind w:left="20"/>
              <w:spacing w:after="0"/>
              <w:rPr>
                <w:sz w:val="20"/>
                <w:szCs w:val="20"/>
                <w:color w:val="auto"/>
              </w:rPr>
            </w:pPr>
            <w:r>
              <w:rPr>
                <w:rFonts w:ascii="Arial" w:cs="Arial" w:eastAsia="Arial" w:hAnsi="Arial"/>
                <w:sz w:val="14"/>
                <w:szCs w:val="14"/>
                <w:color w:val="auto"/>
              </w:rPr>
              <w:t>Costs per ASK ex fuel (US$ cents)</w:t>
            </w:r>
          </w:p>
        </w:tc>
        <w:tc>
          <w:tcPr>
            <w:tcW w:w="1760" w:type="dxa"/>
            <w:vAlign w:val="bottom"/>
          </w:tcPr>
          <w:p>
            <w:pPr>
              <w:jc w:val="center"/>
              <w:ind w:left="528"/>
              <w:spacing w:after="0"/>
              <w:rPr>
                <w:sz w:val="20"/>
                <w:szCs w:val="20"/>
                <w:color w:val="auto"/>
              </w:rPr>
            </w:pPr>
            <w:r>
              <w:rPr>
                <w:rFonts w:ascii="Arial" w:cs="Arial" w:eastAsia="Arial" w:hAnsi="Arial"/>
                <w:sz w:val="14"/>
                <w:szCs w:val="14"/>
                <w:color w:val="auto"/>
              </w:rPr>
              <w:t>5.1</w:t>
            </w:r>
          </w:p>
        </w:tc>
        <w:tc>
          <w:tcPr>
            <w:tcW w:w="3480" w:type="dxa"/>
            <w:vAlign w:val="bottom"/>
          </w:tcPr>
          <w:p>
            <w:pPr>
              <w:jc w:val="center"/>
              <w:spacing w:after="0"/>
              <w:rPr>
                <w:sz w:val="20"/>
                <w:szCs w:val="20"/>
                <w:color w:val="auto"/>
              </w:rPr>
            </w:pPr>
            <w:r>
              <w:rPr>
                <w:rFonts w:ascii="Arial" w:cs="Arial" w:eastAsia="Arial" w:hAnsi="Arial"/>
                <w:sz w:val="14"/>
                <w:szCs w:val="14"/>
                <w:color w:val="auto"/>
              </w:rPr>
              <w:t>4.6</w:t>
            </w:r>
          </w:p>
        </w:tc>
        <w:tc>
          <w:tcPr>
            <w:tcW w:w="1840" w:type="dxa"/>
            <w:vAlign w:val="bottom"/>
          </w:tcPr>
          <w:p>
            <w:pPr>
              <w:jc w:val="center"/>
              <w:ind w:right="468"/>
              <w:spacing w:after="0"/>
              <w:rPr>
                <w:sz w:val="20"/>
                <w:szCs w:val="20"/>
                <w:color w:val="auto"/>
              </w:rPr>
            </w:pPr>
            <w:r>
              <w:rPr>
                <w:rFonts w:ascii="Arial" w:cs="Arial" w:eastAsia="Arial" w:hAnsi="Arial"/>
                <w:sz w:val="14"/>
                <w:szCs w:val="14"/>
                <w:color w:val="auto"/>
                <w:w w:val="95"/>
              </w:rPr>
              <w:t>11.1%</w:t>
            </w:r>
          </w:p>
        </w:tc>
      </w:tr>
      <w:tr>
        <w:trPr>
          <w:trHeight w:val="203"/>
        </w:trPr>
        <w:tc>
          <w:tcPr>
            <w:tcW w:w="4000" w:type="dxa"/>
            <w:vAlign w:val="bottom"/>
          </w:tcPr>
          <w:p>
            <w:pPr>
              <w:ind w:left="20"/>
              <w:spacing w:after="0"/>
              <w:rPr>
                <w:sz w:val="20"/>
                <w:szCs w:val="20"/>
                <w:color w:val="auto"/>
              </w:rPr>
            </w:pPr>
            <w:r>
              <w:rPr>
                <w:rFonts w:ascii="Arial" w:cs="Arial" w:eastAsia="Arial" w:hAnsi="Arial"/>
                <w:sz w:val="14"/>
                <w:szCs w:val="14"/>
                <w:color w:val="auto"/>
              </w:rPr>
              <w:t>Adjusted Costs per ASK ex fuel (US$ cents)</w:t>
            </w:r>
          </w:p>
        </w:tc>
        <w:tc>
          <w:tcPr>
            <w:tcW w:w="1760" w:type="dxa"/>
            <w:vAlign w:val="bottom"/>
          </w:tcPr>
          <w:p>
            <w:pPr>
              <w:jc w:val="center"/>
              <w:ind w:left="528"/>
              <w:spacing w:after="0"/>
              <w:rPr>
                <w:sz w:val="20"/>
                <w:szCs w:val="20"/>
                <w:color w:val="auto"/>
              </w:rPr>
            </w:pPr>
            <w:r>
              <w:rPr>
                <w:rFonts w:ascii="Arial" w:cs="Arial" w:eastAsia="Arial" w:hAnsi="Arial"/>
                <w:sz w:val="14"/>
                <w:szCs w:val="14"/>
                <w:color w:val="auto"/>
              </w:rPr>
              <w:t>5.0</w:t>
            </w:r>
          </w:p>
        </w:tc>
        <w:tc>
          <w:tcPr>
            <w:tcW w:w="3480" w:type="dxa"/>
            <w:vAlign w:val="bottom"/>
          </w:tcPr>
          <w:p>
            <w:pPr>
              <w:jc w:val="center"/>
              <w:spacing w:after="0"/>
              <w:rPr>
                <w:sz w:val="20"/>
                <w:szCs w:val="20"/>
                <w:color w:val="auto"/>
              </w:rPr>
            </w:pPr>
            <w:r>
              <w:rPr>
                <w:rFonts w:ascii="Arial" w:cs="Arial" w:eastAsia="Arial" w:hAnsi="Arial"/>
                <w:sz w:val="14"/>
                <w:szCs w:val="14"/>
                <w:color w:val="auto"/>
              </w:rPr>
              <w:t>4.5</w:t>
            </w:r>
          </w:p>
        </w:tc>
        <w:tc>
          <w:tcPr>
            <w:tcW w:w="1840" w:type="dxa"/>
            <w:vAlign w:val="bottom"/>
          </w:tcPr>
          <w:p>
            <w:pPr>
              <w:jc w:val="center"/>
              <w:ind w:right="468"/>
              <w:spacing w:after="0"/>
              <w:rPr>
                <w:sz w:val="20"/>
                <w:szCs w:val="20"/>
                <w:color w:val="auto"/>
              </w:rPr>
            </w:pPr>
            <w:r>
              <w:rPr>
                <w:rFonts w:ascii="Arial" w:cs="Arial" w:eastAsia="Arial" w:hAnsi="Arial"/>
                <w:sz w:val="14"/>
                <w:szCs w:val="14"/>
                <w:color w:val="auto"/>
                <w:w w:val="95"/>
              </w:rPr>
              <w:t>11.4%</w:t>
            </w:r>
          </w:p>
        </w:tc>
      </w:tr>
      <w:tr>
        <w:trPr>
          <w:trHeight w:val="203"/>
        </w:trPr>
        <w:tc>
          <w:tcPr>
            <w:tcW w:w="4000" w:type="dxa"/>
            <w:vAlign w:val="bottom"/>
          </w:tcPr>
          <w:p>
            <w:pPr>
              <w:ind w:left="20"/>
              <w:spacing w:after="0"/>
              <w:rPr>
                <w:sz w:val="20"/>
                <w:szCs w:val="20"/>
                <w:color w:val="auto"/>
              </w:rPr>
            </w:pPr>
            <w:r>
              <w:rPr>
                <w:rFonts w:ascii="Arial" w:cs="Arial" w:eastAsia="Arial" w:hAnsi="Arial"/>
                <w:sz w:val="14"/>
                <w:szCs w:val="14"/>
                <w:color w:val="auto"/>
              </w:rPr>
              <w:t>Adjusted Passenger CASK ex fuel (US$ cents)</w:t>
            </w:r>
          </w:p>
        </w:tc>
        <w:tc>
          <w:tcPr>
            <w:tcW w:w="1760" w:type="dxa"/>
            <w:vAlign w:val="bottom"/>
          </w:tcPr>
          <w:p>
            <w:pPr>
              <w:jc w:val="center"/>
              <w:ind w:left="528"/>
              <w:spacing w:after="0"/>
              <w:rPr>
                <w:sz w:val="20"/>
                <w:szCs w:val="20"/>
                <w:color w:val="auto"/>
              </w:rPr>
            </w:pPr>
            <w:r>
              <w:rPr>
                <w:rFonts w:ascii="Arial" w:cs="Arial" w:eastAsia="Arial" w:hAnsi="Arial"/>
                <w:sz w:val="14"/>
                <w:szCs w:val="14"/>
                <w:color w:val="auto"/>
              </w:rPr>
              <w:t>4.5</w:t>
            </w:r>
          </w:p>
        </w:tc>
        <w:tc>
          <w:tcPr>
            <w:tcW w:w="3480" w:type="dxa"/>
            <w:vAlign w:val="bottom"/>
          </w:tcPr>
          <w:p>
            <w:pPr>
              <w:jc w:val="center"/>
              <w:spacing w:after="0"/>
              <w:rPr>
                <w:sz w:val="20"/>
                <w:szCs w:val="20"/>
                <w:color w:val="auto"/>
              </w:rPr>
            </w:pPr>
            <w:r>
              <w:rPr>
                <w:rFonts w:ascii="Arial" w:cs="Arial" w:eastAsia="Arial" w:hAnsi="Arial"/>
                <w:sz w:val="14"/>
                <w:szCs w:val="14"/>
                <w:color w:val="auto"/>
              </w:rPr>
              <w:t>4.0</w:t>
            </w:r>
          </w:p>
        </w:tc>
        <w:tc>
          <w:tcPr>
            <w:tcW w:w="1840" w:type="dxa"/>
            <w:vAlign w:val="bottom"/>
          </w:tcPr>
          <w:p>
            <w:pPr>
              <w:jc w:val="center"/>
              <w:ind w:right="468"/>
              <w:spacing w:after="0"/>
              <w:rPr>
                <w:sz w:val="20"/>
                <w:szCs w:val="20"/>
                <w:color w:val="auto"/>
              </w:rPr>
            </w:pPr>
            <w:r>
              <w:rPr>
                <w:rFonts w:ascii="Arial" w:cs="Arial" w:eastAsia="Arial" w:hAnsi="Arial"/>
                <w:sz w:val="14"/>
                <w:szCs w:val="14"/>
                <w:color w:val="auto"/>
              </w:rPr>
              <w:t>12.0%</w:t>
            </w:r>
          </w:p>
        </w:tc>
      </w:tr>
      <w:tr>
        <w:trPr>
          <w:trHeight w:val="203"/>
        </w:trPr>
        <w:tc>
          <w:tcPr>
            <w:tcW w:w="4000" w:type="dxa"/>
            <w:vAlign w:val="bottom"/>
          </w:tcPr>
          <w:p>
            <w:pPr>
              <w:ind w:left="20"/>
              <w:spacing w:after="0"/>
              <w:rPr>
                <w:sz w:val="20"/>
                <w:szCs w:val="20"/>
                <w:color w:val="auto"/>
              </w:rPr>
            </w:pPr>
            <w:r>
              <w:rPr>
                <w:rFonts w:ascii="Arial" w:cs="Arial" w:eastAsia="Arial" w:hAnsi="Arial"/>
                <w:sz w:val="14"/>
                <w:szCs w:val="14"/>
                <w:color w:val="auto"/>
              </w:rPr>
              <w:t>Fuel Gallons Consumed (millions)</w:t>
            </w:r>
          </w:p>
        </w:tc>
        <w:tc>
          <w:tcPr>
            <w:tcW w:w="1760" w:type="dxa"/>
            <w:vAlign w:val="bottom"/>
          </w:tcPr>
          <w:p>
            <w:pPr>
              <w:jc w:val="center"/>
              <w:ind w:left="528"/>
              <w:spacing w:after="0"/>
              <w:rPr>
                <w:sz w:val="20"/>
                <w:szCs w:val="20"/>
                <w:color w:val="auto"/>
              </w:rPr>
            </w:pPr>
            <w:r>
              <w:rPr>
                <w:rFonts w:ascii="Arial" w:cs="Arial" w:eastAsia="Arial" w:hAnsi="Arial"/>
                <w:sz w:val="14"/>
                <w:szCs w:val="14"/>
                <w:color w:val="auto"/>
              </w:rPr>
              <w:t>383</w:t>
            </w:r>
          </w:p>
        </w:tc>
        <w:tc>
          <w:tcPr>
            <w:tcW w:w="3480" w:type="dxa"/>
            <w:vAlign w:val="bottom"/>
          </w:tcPr>
          <w:p>
            <w:pPr>
              <w:jc w:val="center"/>
              <w:spacing w:after="0"/>
              <w:rPr>
                <w:sz w:val="20"/>
                <w:szCs w:val="20"/>
                <w:color w:val="auto"/>
              </w:rPr>
            </w:pPr>
            <w:r>
              <w:rPr>
                <w:rFonts w:ascii="Arial" w:cs="Arial" w:eastAsia="Arial" w:hAnsi="Arial"/>
                <w:sz w:val="14"/>
                <w:szCs w:val="14"/>
                <w:color w:val="auto"/>
              </w:rPr>
              <w:t>348</w:t>
            </w:r>
          </w:p>
        </w:tc>
        <w:tc>
          <w:tcPr>
            <w:tcW w:w="1840" w:type="dxa"/>
            <w:vAlign w:val="bottom"/>
          </w:tcPr>
          <w:p>
            <w:pPr>
              <w:jc w:val="center"/>
              <w:ind w:right="468"/>
              <w:spacing w:after="0"/>
              <w:rPr>
                <w:sz w:val="20"/>
                <w:szCs w:val="20"/>
                <w:color w:val="auto"/>
              </w:rPr>
            </w:pPr>
            <w:r>
              <w:rPr>
                <w:rFonts w:ascii="Arial" w:cs="Arial" w:eastAsia="Arial" w:hAnsi="Arial"/>
                <w:sz w:val="14"/>
                <w:szCs w:val="14"/>
                <w:color w:val="auto"/>
              </w:rPr>
              <w:t>10.1%</w:t>
            </w:r>
          </w:p>
        </w:tc>
      </w:tr>
      <w:tr>
        <w:trPr>
          <w:trHeight w:val="203"/>
        </w:trPr>
        <w:tc>
          <w:tcPr>
            <w:tcW w:w="4000" w:type="dxa"/>
            <w:vAlign w:val="bottom"/>
          </w:tcPr>
          <w:p>
            <w:pPr>
              <w:ind w:left="20"/>
              <w:spacing w:after="0"/>
              <w:rPr>
                <w:sz w:val="20"/>
                <w:szCs w:val="20"/>
                <w:color w:val="auto"/>
              </w:rPr>
            </w:pPr>
            <w:r>
              <w:rPr>
                <w:rFonts w:ascii="Arial" w:cs="Arial" w:eastAsia="Arial" w:hAnsi="Arial"/>
                <w:sz w:val="14"/>
                <w:szCs w:val="14"/>
                <w:color w:val="auto"/>
              </w:rPr>
              <w:t>Fuel Gallons Consumed per 1,000 ASKs</w:t>
            </w:r>
          </w:p>
        </w:tc>
        <w:tc>
          <w:tcPr>
            <w:tcW w:w="1760" w:type="dxa"/>
            <w:vAlign w:val="bottom"/>
          </w:tcPr>
          <w:p>
            <w:pPr>
              <w:jc w:val="center"/>
              <w:ind w:left="528"/>
              <w:spacing w:after="0"/>
              <w:rPr>
                <w:sz w:val="20"/>
                <w:szCs w:val="20"/>
                <w:color w:val="auto"/>
              </w:rPr>
            </w:pPr>
            <w:r>
              <w:rPr>
                <w:rFonts w:ascii="Arial" w:cs="Arial" w:eastAsia="Arial" w:hAnsi="Arial"/>
                <w:sz w:val="14"/>
                <w:szCs w:val="14"/>
                <w:color w:val="auto"/>
              </w:rPr>
              <w:t>8.4</w:t>
            </w:r>
          </w:p>
        </w:tc>
        <w:tc>
          <w:tcPr>
            <w:tcW w:w="3480" w:type="dxa"/>
            <w:vAlign w:val="bottom"/>
          </w:tcPr>
          <w:p>
            <w:pPr>
              <w:jc w:val="center"/>
              <w:spacing w:after="0"/>
              <w:rPr>
                <w:sz w:val="20"/>
                <w:szCs w:val="20"/>
                <w:color w:val="auto"/>
              </w:rPr>
            </w:pPr>
            <w:r>
              <w:rPr>
                <w:rFonts w:ascii="Arial" w:cs="Arial" w:eastAsia="Arial" w:hAnsi="Arial"/>
                <w:sz w:val="14"/>
                <w:szCs w:val="14"/>
                <w:color w:val="auto"/>
              </w:rPr>
              <w:t>8.4</w:t>
            </w:r>
          </w:p>
        </w:tc>
        <w:tc>
          <w:tcPr>
            <w:tcW w:w="1840" w:type="dxa"/>
            <w:vAlign w:val="bottom"/>
          </w:tcPr>
          <w:p>
            <w:pPr>
              <w:jc w:val="center"/>
              <w:ind w:right="468"/>
              <w:spacing w:after="0"/>
              <w:rPr>
                <w:sz w:val="20"/>
                <w:szCs w:val="20"/>
                <w:color w:val="auto"/>
              </w:rPr>
            </w:pPr>
            <w:r>
              <w:rPr>
                <w:rFonts w:ascii="Arial" w:cs="Arial" w:eastAsia="Arial" w:hAnsi="Arial"/>
                <w:sz w:val="14"/>
                <w:szCs w:val="14"/>
                <w:color w:val="auto"/>
              </w:rPr>
              <w:t>(0.2%)</w:t>
            </w:r>
          </w:p>
        </w:tc>
      </w:tr>
      <w:tr>
        <w:trPr>
          <w:trHeight w:val="203"/>
        </w:trPr>
        <w:tc>
          <w:tcPr>
            <w:tcW w:w="4000" w:type="dxa"/>
            <w:vAlign w:val="bottom"/>
          </w:tcPr>
          <w:p>
            <w:pPr>
              <w:ind w:left="20"/>
              <w:spacing w:after="0"/>
              <w:rPr>
                <w:sz w:val="20"/>
                <w:szCs w:val="20"/>
                <w:color w:val="auto"/>
              </w:rPr>
            </w:pPr>
            <w:r>
              <w:rPr>
                <w:rFonts w:ascii="Arial" w:cs="Arial" w:eastAsia="Arial" w:hAnsi="Arial"/>
                <w:sz w:val="14"/>
                <w:szCs w:val="14"/>
                <w:color w:val="auto"/>
              </w:rPr>
              <w:t>Fuel Price (with hedge) (US$ per gallon)</w:t>
            </w:r>
          </w:p>
        </w:tc>
        <w:tc>
          <w:tcPr>
            <w:tcW w:w="1760" w:type="dxa"/>
            <w:vAlign w:val="bottom"/>
          </w:tcPr>
          <w:p>
            <w:pPr>
              <w:jc w:val="center"/>
              <w:ind w:left="528"/>
              <w:spacing w:after="0"/>
              <w:rPr>
                <w:sz w:val="20"/>
                <w:szCs w:val="20"/>
                <w:color w:val="auto"/>
              </w:rPr>
            </w:pPr>
            <w:r>
              <w:rPr>
                <w:rFonts w:ascii="Arial" w:cs="Arial" w:eastAsia="Arial" w:hAnsi="Arial"/>
                <w:sz w:val="14"/>
                <w:szCs w:val="14"/>
                <w:color w:val="auto"/>
              </w:rPr>
              <w:t>2.71</w:t>
            </w:r>
          </w:p>
        </w:tc>
        <w:tc>
          <w:tcPr>
            <w:tcW w:w="3480" w:type="dxa"/>
            <w:vAlign w:val="bottom"/>
          </w:tcPr>
          <w:p>
            <w:pPr>
              <w:jc w:val="center"/>
              <w:spacing w:after="0"/>
              <w:rPr>
                <w:sz w:val="20"/>
                <w:szCs w:val="20"/>
                <w:color w:val="auto"/>
              </w:rPr>
            </w:pPr>
            <w:r>
              <w:rPr>
                <w:rFonts w:ascii="Arial" w:cs="Arial" w:eastAsia="Arial" w:hAnsi="Arial"/>
                <w:sz w:val="14"/>
                <w:szCs w:val="14"/>
                <w:color w:val="auto"/>
              </w:rPr>
              <w:t>2.80</w:t>
            </w:r>
          </w:p>
        </w:tc>
        <w:tc>
          <w:tcPr>
            <w:tcW w:w="1840" w:type="dxa"/>
            <w:vAlign w:val="bottom"/>
          </w:tcPr>
          <w:p>
            <w:pPr>
              <w:jc w:val="center"/>
              <w:ind w:right="468"/>
              <w:spacing w:after="0"/>
              <w:rPr>
                <w:sz w:val="20"/>
                <w:szCs w:val="20"/>
                <w:color w:val="auto"/>
              </w:rPr>
            </w:pPr>
            <w:r>
              <w:rPr>
                <w:rFonts w:ascii="Arial" w:cs="Arial" w:eastAsia="Arial" w:hAnsi="Arial"/>
                <w:sz w:val="14"/>
                <w:szCs w:val="14"/>
                <w:color w:val="auto"/>
              </w:rPr>
              <w:t>(3.3%)</w:t>
            </w:r>
          </w:p>
        </w:tc>
      </w:tr>
      <w:tr>
        <w:trPr>
          <w:trHeight w:val="203"/>
        </w:trPr>
        <w:tc>
          <w:tcPr>
            <w:tcW w:w="4000" w:type="dxa"/>
            <w:vAlign w:val="bottom"/>
          </w:tcPr>
          <w:p>
            <w:pPr>
              <w:ind w:left="20"/>
              <w:spacing w:after="0"/>
              <w:rPr>
                <w:sz w:val="20"/>
                <w:szCs w:val="20"/>
                <w:color w:val="auto"/>
              </w:rPr>
            </w:pPr>
            <w:r>
              <w:rPr>
                <w:rFonts w:ascii="Arial" w:cs="Arial" w:eastAsia="Arial" w:hAnsi="Arial"/>
                <w:sz w:val="14"/>
                <w:szCs w:val="14"/>
                <w:color w:val="auto"/>
              </w:rPr>
              <w:t>Fuel Price (with hedge) (US$ per barrel)</w:t>
            </w:r>
          </w:p>
        </w:tc>
        <w:tc>
          <w:tcPr>
            <w:tcW w:w="1760" w:type="dxa"/>
            <w:vAlign w:val="bottom"/>
          </w:tcPr>
          <w:p>
            <w:pPr>
              <w:jc w:val="center"/>
              <w:ind w:left="508"/>
              <w:spacing w:after="0"/>
              <w:rPr>
                <w:sz w:val="20"/>
                <w:szCs w:val="20"/>
                <w:color w:val="auto"/>
              </w:rPr>
            </w:pPr>
            <w:r>
              <w:rPr>
                <w:rFonts w:ascii="Arial" w:cs="Arial" w:eastAsia="Arial" w:hAnsi="Arial"/>
                <w:sz w:val="14"/>
                <w:szCs w:val="14"/>
                <w:color w:val="auto"/>
                <w:w w:val="96"/>
              </w:rPr>
              <w:t>113.8</w:t>
            </w:r>
          </w:p>
        </w:tc>
        <w:tc>
          <w:tcPr>
            <w:tcW w:w="3480" w:type="dxa"/>
            <w:vAlign w:val="bottom"/>
          </w:tcPr>
          <w:p>
            <w:pPr>
              <w:jc w:val="center"/>
              <w:spacing w:after="0"/>
              <w:rPr>
                <w:sz w:val="20"/>
                <w:szCs w:val="20"/>
                <w:color w:val="auto"/>
              </w:rPr>
            </w:pPr>
            <w:r>
              <w:rPr>
                <w:rFonts w:ascii="Arial" w:cs="Arial" w:eastAsia="Arial" w:hAnsi="Arial"/>
                <w:sz w:val="14"/>
                <w:szCs w:val="14"/>
                <w:color w:val="auto"/>
                <w:w w:val="96"/>
              </w:rPr>
              <w:t>117.6</w:t>
            </w:r>
          </w:p>
        </w:tc>
        <w:tc>
          <w:tcPr>
            <w:tcW w:w="1840" w:type="dxa"/>
            <w:vAlign w:val="bottom"/>
          </w:tcPr>
          <w:p>
            <w:pPr>
              <w:jc w:val="center"/>
              <w:ind w:right="468"/>
              <w:spacing w:after="0"/>
              <w:rPr>
                <w:sz w:val="20"/>
                <w:szCs w:val="20"/>
                <w:color w:val="auto"/>
              </w:rPr>
            </w:pPr>
            <w:r>
              <w:rPr>
                <w:rFonts w:ascii="Arial" w:cs="Arial" w:eastAsia="Arial" w:hAnsi="Arial"/>
                <w:sz w:val="14"/>
                <w:szCs w:val="14"/>
                <w:color w:val="auto"/>
              </w:rPr>
              <w:t>(3.3%)</w:t>
            </w:r>
          </w:p>
        </w:tc>
      </w:tr>
      <w:tr>
        <w:trPr>
          <w:trHeight w:val="203"/>
        </w:trPr>
        <w:tc>
          <w:tcPr>
            <w:tcW w:w="4000" w:type="dxa"/>
            <w:vAlign w:val="bottom"/>
          </w:tcPr>
          <w:p>
            <w:pPr>
              <w:ind w:left="20"/>
              <w:spacing w:after="0"/>
              <w:rPr>
                <w:sz w:val="20"/>
                <w:szCs w:val="20"/>
                <w:color w:val="auto"/>
              </w:rPr>
            </w:pPr>
            <w:r>
              <w:rPr>
                <w:rFonts w:ascii="Arial" w:cs="Arial" w:eastAsia="Arial" w:hAnsi="Arial"/>
                <w:sz w:val="14"/>
                <w:szCs w:val="14"/>
                <w:color w:val="auto"/>
              </w:rPr>
              <w:t>Fuel Price (without hedge) (US$ per gallon)</w:t>
            </w:r>
          </w:p>
        </w:tc>
        <w:tc>
          <w:tcPr>
            <w:tcW w:w="1760" w:type="dxa"/>
            <w:vAlign w:val="bottom"/>
          </w:tcPr>
          <w:p>
            <w:pPr>
              <w:jc w:val="center"/>
              <w:ind w:left="528"/>
              <w:spacing w:after="0"/>
              <w:rPr>
                <w:sz w:val="20"/>
                <w:szCs w:val="20"/>
                <w:color w:val="auto"/>
              </w:rPr>
            </w:pPr>
            <w:r>
              <w:rPr>
                <w:rFonts w:ascii="Arial" w:cs="Arial" w:eastAsia="Arial" w:hAnsi="Arial"/>
                <w:sz w:val="14"/>
                <w:szCs w:val="14"/>
                <w:color w:val="auto"/>
              </w:rPr>
              <w:t>2.77</w:t>
            </w:r>
          </w:p>
        </w:tc>
        <w:tc>
          <w:tcPr>
            <w:tcW w:w="3480" w:type="dxa"/>
            <w:vAlign w:val="bottom"/>
          </w:tcPr>
          <w:p>
            <w:pPr>
              <w:jc w:val="center"/>
              <w:spacing w:after="0"/>
              <w:rPr>
                <w:sz w:val="20"/>
                <w:szCs w:val="20"/>
                <w:color w:val="auto"/>
              </w:rPr>
            </w:pPr>
            <w:r>
              <w:rPr>
                <w:rFonts w:ascii="Arial" w:cs="Arial" w:eastAsia="Arial" w:hAnsi="Arial"/>
                <w:sz w:val="14"/>
                <w:szCs w:val="14"/>
                <w:color w:val="auto"/>
              </w:rPr>
              <w:t>2.79</w:t>
            </w:r>
          </w:p>
        </w:tc>
        <w:tc>
          <w:tcPr>
            <w:tcW w:w="1840" w:type="dxa"/>
            <w:vAlign w:val="bottom"/>
          </w:tcPr>
          <w:p>
            <w:pPr>
              <w:jc w:val="center"/>
              <w:ind w:right="468"/>
              <w:spacing w:after="0"/>
              <w:rPr>
                <w:sz w:val="20"/>
                <w:szCs w:val="20"/>
                <w:color w:val="auto"/>
              </w:rPr>
            </w:pPr>
            <w:r>
              <w:rPr>
                <w:rFonts w:ascii="Arial" w:cs="Arial" w:eastAsia="Arial" w:hAnsi="Arial"/>
                <w:sz w:val="14"/>
                <w:szCs w:val="14"/>
                <w:color w:val="auto"/>
              </w:rPr>
              <w:t>(0.8%)</w:t>
            </w:r>
          </w:p>
        </w:tc>
      </w:tr>
      <w:tr>
        <w:trPr>
          <w:trHeight w:val="203"/>
        </w:trPr>
        <w:tc>
          <w:tcPr>
            <w:tcW w:w="4000" w:type="dxa"/>
            <w:vAlign w:val="bottom"/>
          </w:tcPr>
          <w:p>
            <w:pPr>
              <w:ind w:left="20"/>
              <w:spacing w:after="0"/>
              <w:rPr>
                <w:sz w:val="20"/>
                <w:szCs w:val="20"/>
                <w:color w:val="auto"/>
              </w:rPr>
            </w:pPr>
            <w:r>
              <w:rPr>
                <w:rFonts w:ascii="Arial" w:cs="Arial" w:eastAsia="Arial" w:hAnsi="Arial"/>
                <w:sz w:val="14"/>
                <w:szCs w:val="14"/>
                <w:color w:val="auto"/>
              </w:rPr>
              <w:t>Fuel Price (without hedge) (US$ per barrel)</w:t>
            </w:r>
          </w:p>
        </w:tc>
        <w:tc>
          <w:tcPr>
            <w:tcW w:w="1760" w:type="dxa"/>
            <w:vAlign w:val="bottom"/>
          </w:tcPr>
          <w:p>
            <w:pPr>
              <w:jc w:val="center"/>
              <w:ind w:left="508"/>
              <w:spacing w:after="0"/>
              <w:rPr>
                <w:sz w:val="20"/>
                <w:szCs w:val="20"/>
                <w:color w:val="auto"/>
              </w:rPr>
            </w:pPr>
            <w:r>
              <w:rPr>
                <w:rFonts w:ascii="Arial" w:cs="Arial" w:eastAsia="Arial" w:hAnsi="Arial"/>
                <w:sz w:val="14"/>
                <w:szCs w:val="14"/>
                <w:color w:val="auto"/>
                <w:w w:val="96"/>
              </w:rPr>
              <w:t>116.3</w:t>
            </w:r>
          </w:p>
        </w:tc>
        <w:tc>
          <w:tcPr>
            <w:tcW w:w="3480" w:type="dxa"/>
            <w:vAlign w:val="bottom"/>
          </w:tcPr>
          <w:p>
            <w:pPr>
              <w:jc w:val="center"/>
              <w:spacing w:after="0"/>
              <w:rPr>
                <w:sz w:val="20"/>
                <w:szCs w:val="20"/>
                <w:color w:val="auto"/>
              </w:rPr>
            </w:pPr>
            <w:r>
              <w:rPr>
                <w:rFonts w:ascii="Arial" w:cs="Arial" w:eastAsia="Arial" w:hAnsi="Arial"/>
                <w:sz w:val="14"/>
                <w:szCs w:val="14"/>
                <w:color w:val="auto"/>
                <w:w w:val="96"/>
              </w:rPr>
              <w:t>117.2</w:t>
            </w:r>
          </w:p>
        </w:tc>
        <w:tc>
          <w:tcPr>
            <w:tcW w:w="1840" w:type="dxa"/>
            <w:vAlign w:val="bottom"/>
          </w:tcPr>
          <w:p>
            <w:pPr>
              <w:jc w:val="center"/>
              <w:ind w:right="468"/>
              <w:spacing w:after="0"/>
              <w:rPr>
                <w:sz w:val="20"/>
                <w:szCs w:val="20"/>
                <w:color w:val="auto"/>
              </w:rPr>
            </w:pPr>
            <w:r>
              <w:rPr>
                <w:rFonts w:ascii="Arial" w:cs="Arial" w:eastAsia="Arial" w:hAnsi="Arial"/>
                <w:sz w:val="14"/>
                <w:szCs w:val="14"/>
                <w:color w:val="auto"/>
              </w:rPr>
              <w:t>(0.8%)</w:t>
            </w:r>
          </w:p>
        </w:tc>
      </w:tr>
      <w:tr>
        <w:trPr>
          <w:trHeight w:val="203"/>
        </w:trPr>
        <w:tc>
          <w:tcPr>
            <w:tcW w:w="4000" w:type="dxa"/>
            <w:vAlign w:val="bottom"/>
          </w:tcPr>
          <w:p>
            <w:pPr>
              <w:ind w:left="20"/>
              <w:spacing w:after="0"/>
              <w:rPr>
                <w:sz w:val="20"/>
                <w:szCs w:val="20"/>
                <w:color w:val="auto"/>
              </w:rPr>
            </w:pPr>
            <w:r>
              <w:rPr>
                <w:rFonts w:ascii="Arial" w:cs="Arial" w:eastAsia="Arial" w:hAnsi="Arial"/>
                <w:sz w:val="14"/>
                <w:szCs w:val="14"/>
                <w:color w:val="auto"/>
              </w:rPr>
              <w:t>Average Trip Length (km)</w:t>
            </w:r>
          </w:p>
        </w:tc>
        <w:tc>
          <w:tcPr>
            <w:tcW w:w="1760" w:type="dxa"/>
            <w:vAlign w:val="bottom"/>
          </w:tcPr>
          <w:p>
            <w:pPr>
              <w:jc w:val="center"/>
              <w:ind w:left="528"/>
              <w:spacing w:after="0"/>
              <w:rPr>
                <w:sz w:val="20"/>
                <w:szCs w:val="20"/>
                <w:color w:val="auto"/>
              </w:rPr>
            </w:pPr>
            <w:r>
              <w:rPr>
                <w:rFonts w:ascii="Arial" w:cs="Arial" w:eastAsia="Arial" w:hAnsi="Arial"/>
                <w:sz w:val="14"/>
                <w:szCs w:val="14"/>
                <w:color w:val="auto"/>
              </w:rPr>
              <w:t>1.698</w:t>
            </w:r>
          </w:p>
        </w:tc>
        <w:tc>
          <w:tcPr>
            <w:tcW w:w="3480" w:type="dxa"/>
            <w:vAlign w:val="bottom"/>
          </w:tcPr>
          <w:p>
            <w:pPr>
              <w:jc w:val="center"/>
              <w:spacing w:after="0"/>
              <w:rPr>
                <w:sz w:val="20"/>
                <w:szCs w:val="20"/>
                <w:color w:val="auto"/>
              </w:rPr>
            </w:pPr>
            <w:r>
              <w:rPr>
                <w:rFonts w:ascii="Arial" w:cs="Arial" w:eastAsia="Arial" w:hAnsi="Arial"/>
                <w:sz w:val="14"/>
                <w:szCs w:val="14"/>
                <w:color w:val="auto"/>
              </w:rPr>
              <w:t>1.640</w:t>
            </w:r>
          </w:p>
        </w:tc>
        <w:tc>
          <w:tcPr>
            <w:tcW w:w="1840" w:type="dxa"/>
            <w:vAlign w:val="bottom"/>
          </w:tcPr>
          <w:p>
            <w:pPr>
              <w:jc w:val="center"/>
              <w:ind w:right="468"/>
              <w:spacing w:after="0"/>
              <w:rPr>
                <w:sz w:val="20"/>
                <w:szCs w:val="20"/>
                <w:color w:val="auto"/>
              </w:rPr>
            </w:pPr>
            <w:r>
              <w:rPr>
                <w:rFonts w:ascii="Arial" w:cs="Arial" w:eastAsia="Arial" w:hAnsi="Arial"/>
                <w:sz w:val="14"/>
                <w:szCs w:val="14"/>
                <w:color w:val="auto"/>
              </w:rPr>
              <w:t>3.5%</w:t>
            </w:r>
          </w:p>
        </w:tc>
      </w:tr>
      <w:tr>
        <w:trPr>
          <w:trHeight w:val="203"/>
        </w:trPr>
        <w:tc>
          <w:tcPr>
            <w:tcW w:w="4000" w:type="dxa"/>
            <w:vAlign w:val="bottom"/>
          </w:tcPr>
          <w:p>
            <w:pPr>
              <w:ind w:left="20"/>
              <w:spacing w:after="0"/>
              <w:rPr>
                <w:sz w:val="20"/>
                <w:szCs w:val="20"/>
                <w:color w:val="auto"/>
              </w:rPr>
            </w:pPr>
            <w:r>
              <w:rPr>
                <w:rFonts w:ascii="Arial" w:cs="Arial" w:eastAsia="Arial" w:hAnsi="Arial"/>
                <w:sz w:val="14"/>
                <w:szCs w:val="14"/>
                <w:color w:val="auto"/>
              </w:rPr>
              <w:t>Total Number of Employees (average)</w:t>
            </w:r>
          </w:p>
        </w:tc>
        <w:tc>
          <w:tcPr>
            <w:tcW w:w="1760" w:type="dxa"/>
            <w:vAlign w:val="bottom"/>
          </w:tcPr>
          <w:p>
            <w:pPr>
              <w:jc w:val="center"/>
              <w:ind w:left="528"/>
              <w:spacing w:after="0"/>
              <w:rPr>
                <w:sz w:val="20"/>
                <w:szCs w:val="20"/>
                <w:color w:val="auto"/>
              </w:rPr>
            </w:pPr>
            <w:r>
              <w:rPr>
                <w:rFonts w:ascii="Arial" w:cs="Arial" w:eastAsia="Arial" w:hAnsi="Arial"/>
                <w:sz w:val="14"/>
                <w:szCs w:val="14"/>
                <w:color w:val="auto"/>
              </w:rPr>
              <w:t>41,718</w:t>
            </w:r>
          </w:p>
        </w:tc>
        <w:tc>
          <w:tcPr>
            <w:tcW w:w="3480" w:type="dxa"/>
            <w:vAlign w:val="bottom"/>
          </w:tcPr>
          <w:p>
            <w:pPr>
              <w:jc w:val="center"/>
              <w:spacing w:after="0"/>
              <w:rPr>
                <w:sz w:val="20"/>
                <w:szCs w:val="20"/>
                <w:color w:val="auto"/>
              </w:rPr>
            </w:pPr>
            <w:r>
              <w:rPr>
                <w:rFonts w:ascii="Arial" w:cs="Arial" w:eastAsia="Arial" w:hAnsi="Arial"/>
                <w:sz w:val="14"/>
                <w:szCs w:val="14"/>
                <w:color w:val="auto"/>
              </w:rPr>
              <w:t>38,827</w:t>
            </w:r>
          </w:p>
        </w:tc>
        <w:tc>
          <w:tcPr>
            <w:tcW w:w="1840" w:type="dxa"/>
            <w:vAlign w:val="bottom"/>
          </w:tcPr>
          <w:p>
            <w:pPr>
              <w:jc w:val="center"/>
              <w:ind w:right="468"/>
              <w:spacing w:after="0"/>
              <w:rPr>
                <w:sz w:val="20"/>
                <w:szCs w:val="20"/>
                <w:color w:val="auto"/>
              </w:rPr>
            </w:pPr>
            <w:r>
              <w:rPr>
                <w:rFonts w:ascii="Arial" w:cs="Arial" w:eastAsia="Arial" w:hAnsi="Arial"/>
                <w:sz w:val="14"/>
                <w:szCs w:val="14"/>
                <w:color w:val="auto"/>
              </w:rPr>
              <w:t>7.4%</w:t>
            </w:r>
          </w:p>
        </w:tc>
      </w:tr>
      <w:tr>
        <w:trPr>
          <w:trHeight w:val="203"/>
        </w:trPr>
        <w:tc>
          <w:tcPr>
            <w:tcW w:w="4000" w:type="dxa"/>
            <w:vAlign w:val="bottom"/>
          </w:tcPr>
          <w:p>
            <w:pPr>
              <w:ind w:left="20"/>
              <w:spacing w:after="0"/>
              <w:rPr>
                <w:sz w:val="20"/>
                <w:szCs w:val="20"/>
                <w:color w:val="auto"/>
              </w:rPr>
            </w:pPr>
            <w:r>
              <w:rPr>
                <w:rFonts w:ascii="Arial" w:cs="Arial" w:eastAsia="Arial" w:hAnsi="Arial"/>
                <w:sz w:val="14"/>
                <w:szCs w:val="14"/>
                <w:color w:val="auto"/>
              </w:rPr>
              <w:t>Total Number of Employees (end of the period)</w:t>
            </w:r>
          </w:p>
        </w:tc>
        <w:tc>
          <w:tcPr>
            <w:tcW w:w="1760" w:type="dxa"/>
            <w:vAlign w:val="bottom"/>
          </w:tcPr>
          <w:p>
            <w:pPr>
              <w:jc w:val="center"/>
              <w:ind w:left="528"/>
              <w:spacing w:after="0"/>
              <w:rPr>
                <w:sz w:val="20"/>
                <w:szCs w:val="20"/>
                <w:color w:val="auto"/>
              </w:rPr>
            </w:pPr>
            <w:r>
              <w:rPr>
                <w:rFonts w:ascii="Arial" w:cs="Arial" w:eastAsia="Arial" w:hAnsi="Arial"/>
                <w:sz w:val="14"/>
                <w:szCs w:val="14"/>
                <w:color w:val="auto"/>
              </w:rPr>
              <w:t>42,082</w:t>
            </w:r>
          </w:p>
        </w:tc>
        <w:tc>
          <w:tcPr>
            <w:tcW w:w="3480" w:type="dxa"/>
            <w:vAlign w:val="bottom"/>
          </w:tcPr>
          <w:p>
            <w:pPr>
              <w:jc w:val="center"/>
              <w:spacing w:after="0"/>
              <w:rPr>
                <w:sz w:val="20"/>
                <w:szCs w:val="20"/>
                <w:color w:val="auto"/>
              </w:rPr>
            </w:pPr>
            <w:r>
              <w:rPr>
                <w:rFonts w:ascii="Arial" w:cs="Arial" w:eastAsia="Arial" w:hAnsi="Arial"/>
                <w:sz w:val="14"/>
                <w:szCs w:val="14"/>
                <w:color w:val="auto"/>
              </w:rPr>
              <w:t>39,005</w:t>
            </w:r>
          </w:p>
        </w:tc>
        <w:tc>
          <w:tcPr>
            <w:tcW w:w="1840" w:type="dxa"/>
            <w:vAlign w:val="bottom"/>
          </w:tcPr>
          <w:p>
            <w:pPr>
              <w:jc w:val="center"/>
              <w:ind w:right="468"/>
              <w:spacing w:after="0"/>
              <w:rPr>
                <w:sz w:val="20"/>
                <w:szCs w:val="20"/>
                <w:color w:val="auto"/>
              </w:rPr>
            </w:pPr>
            <w:r>
              <w:rPr>
                <w:rFonts w:ascii="Arial" w:cs="Arial" w:eastAsia="Arial" w:hAnsi="Arial"/>
                <w:sz w:val="14"/>
                <w:szCs w:val="14"/>
                <w:color w:val="auto"/>
              </w:rPr>
              <w:t>7.9%</w:t>
            </w:r>
          </w:p>
        </w:tc>
      </w:tr>
      <w:tr>
        <w:trPr>
          <w:trHeight w:val="466"/>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Passenger</w:t>
            </w:r>
          </w:p>
        </w:tc>
        <w:tc>
          <w:tcPr>
            <w:tcW w:w="17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r>
        <w:trPr>
          <w:trHeight w:val="189"/>
        </w:trPr>
        <w:tc>
          <w:tcPr>
            <w:tcW w:w="4000" w:type="dxa"/>
            <w:vAlign w:val="bottom"/>
          </w:tcPr>
          <w:p>
            <w:pPr>
              <w:ind w:left="20"/>
              <w:spacing w:after="0"/>
              <w:rPr>
                <w:sz w:val="20"/>
                <w:szCs w:val="20"/>
                <w:color w:val="auto"/>
              </w:rPr>
            </w:pPr>
            <w:r>
              <w:rPr>
                <w:rFonts w:ascii="Arial" w:cs="Arial" w:eastAsia="Arial" w:hAnsi="Arial"/>
                <w:sz w:val="14"/>
                <w:szCs w:val="14"/>
                <w:color w:val="auto"/>
              </w:rPr>
              <w:t>ASKs (millions)</w:t>
            </w:r>
          </w:p>
        </w:tc>
        <w:tc>
          <w:tcPr>
            <w:tcW w:w="1760" w:type="dxa"/>
            <w:vAlign w:val="bottom"/>
          </w:tcPr>
          <w:p>
            <w:pPr>
              <w:jc w:val="center"/>
              <w:ind w:left="528"/>
              <w:spacing w:after="0"/>
              <w:rPr>
                <w:sz w:val="20"/>
                <w:szCs w:val="20"/>
                <w:color w:val="auto"/>
              </w:rPr>
            </w:pPr>
            <w:r>
              <w:rPr>
                <w:rFonts w:ascii="Arial" w:cs="Arial" w:eastAsia="Arial" w:hAnsi="Arial"/>
                <w:sz w:val="14"/>
                <w:szCs w:val="14"/>
                <w:color w:val="auto"/>
              </w:rPr>
              <w:t>45,539</w:t>
            </w:r>
          </w:p>
        </w:tc>
        <w:tc>
          <w:tcPr>
            <w:tcW w:w="3480" w:type="dxa"/>
            <w:vAlign w:val="bottom"/>
          </w:tcPr>
          <w:p>
            <w:pPr>
              <w:jc w:val="center"/>
              <w:spacing w:after="0"/>
              <w:rPr>
                <w:sz w:val="20"/>
                <w:szCs w:val="20"/>
                <w:color w:val="auto"/>
              </w:rPr>
            </w:pPr>
            <w:r>
              <w:rPr>
                <w:rFonts w:ascii="Arial" w:cs="Arial" w:eastAsia="Arial" w:hAnsi="Arial"/>
                <w:sz w:val="14"/>
                <w:szCs w:val="14"/>
                <w:color w:val="auto"/>
              </w:rPr>
              <w:t>41,257</w:t>
            </w:r>
          </w:p>
        </w:tc>
        <w:tc>
          <w:tcPr>
            <w:tcW w:w="1840" w:type="dxa"/>
            <w:vAlign w:val="bottom"/>
          </w:tcPr>
          <w:p>
            <w:pPr>
              <w:jc w:val="center"/>
              <w:ind w:right="468"/>
              <w:spacing w:after="0"/>
              <w:rPr>
                <w:sz w:val="20"/>
                <w:szCs w:val="20"/>
                <w:color w:val="auto"/>
              </w:rPr>
            </w:pPr>
            <w:r>
              <w:rPr>
                <w:rFonts w:ascii="Arial" w:cs="Arial" w:eastAsia="Arial" w:hAnsi="Arial"/>
                <w:sz w:val="14"/>
                <w:szCs w:val="14"/>
                <w:color w:val="auto"/>
              </w:rPr>
              <w:t>10.4%</w:t>
            </w:r>
          </w:p>
        </w:tc>
      </w:tr>
      <w:tr>
        <w:trPr>
          <w:trHeight w:val="203"/>
        </w:trPr>
        <w:tc>
          <w:tcPr>
            <w:tcW w:w="4000" w:type="dxa"/>
            <w:vAlign w:val="bottom"/>
          </w:tcPr>
          <w:p>
            <w:pPr>
              <w:ind w:left="20"/>
              <w:spacing w:after="0"/>
              <w:rPr>
                <w:sz w:val="20"/>
                <w:szCs w:val="20"/>
                <w:color w:val="auto"/>
              </w:rPr>
            </w:pPr>
            <w:r>
              <w:rPr>
                <w:rFonts w:ascii="Arial" w:cs="Arial" w:eastAsia="Arial" w:hAnsi="Arial"/>
                <w:sz w:val="14"/>
                <w:szCs w:val="14"/>
                <w:color w:val="auto"/>
              </w:rPr>
              <w:t>RPKs (millions)</w:t>
            </w:r>
          </w:p>
        </w:tc>
        <w:tc>
          <w:tcPr>
            <w:tcW w:w="1760" w:type="dxa"/>
            <w:vAlign w:val="bottom"/>
          </w:tcPr>
          <w:p>
            <w:pPr>
              <w:jc w:val="center"/>
              <w:ind w:left="528"/>
              <w:spacing w:after="0"/>
              <w:rPr>
                <w:sz w:val="20"/>
                <w:szCs w:val="20"/>
                <w:color w:val="auto"/>
              </w:rPr>
            </w:pPr>
            <w:r>
              <w:rPr>
                <w:rFonts w:ascii="Arial" w:cs="Arial" w:eastAsia="Arial" w:hAnsi="Arial"/>
                <w:sz w:val="14"/>
                <w:szCs w:val="14"/>
                <w:color w:val="auto"/>
              </w:rPr>
              <w:t>38,845</w:t>
            </w:r>
          </w:p>
        </w:tc>
        <w:tc>
          <w:tcPr>
            <w:tcW w:w="3480" w:type="dxa"/>
            <w:vAlign w:val="bottom"/>
          </w:tcPr>
          <w:p>
            <w:pPr>
              <w:jc w:val="center"/>
              <w:spacing w:after="0"/>
              <w:rPr>
                <w:sz w:val="20"/>
                <w:szCs w:val="20"/>
                <w:color w:val="auto"/>
              </w:rPr>
            </w:pPr>
            <w:r>
              <w:rPr>
                <w:rFonts w:ascii="Arial" w:cs="Arial" w:eastAsia="Arial" w:hAnsi="Arial"/>
                <w:sz w:val="14"/>
                <w:szCs w:val="14"/>
                <w:color w:val="auto"/>
              </w:rPr>
              <w:t>34,383</w:t>
            </w:r>
          </w:p>
        </w:tc>
        <w:tc>
          <w:tcPr>
            <w:tcW w:w="1840" w:type="dxa"/>
            <w:vAlign w:val="bottom"/>
          </w:tcPr>
          <w:p>
            <w:pPr>
              <w:jc w:val="center"/>
              <w:ind w:right="468"/>
              <w:spacing w:after="0"/>
              <w:rPr>
                <w:sz w:val="20"/>
                <w:szCs w:val="20"/>
                <w:color w:val="auto"/>
              </w:rPr>
            </w:pPr>
            <w:r>
              <w:rPr>
                <w:rFonts w:ascii="Arial" w:cs="Arial" w:eastAsia="Arial" w:hAnsi="Arial"/>
                <w:sz w:val="14"/>
                <w:szCs w:val="14"/>
                <w:color w:val="auto"/>
              </w:rPr>
              <w:t>13.0%</w:t>
            </w:r>
          </w:p>
        </w:tc>
      </w:tr>
      <w:tr>
        <w:trPr>
          <w:trHeight w:val="203"/>
        </w:trPr>
        <w:tc>
          <w:tcPr>
            <w:tcW w:w="4000" w:type="dxa"/>
            <w:vAlign w:val="bottom"/>
          </w:tcPr>
          <w:p>
            <w:pPr>
              <w:ind w:left="20"/>
              <w:spacing w:after="0"/>
              <w:rPr>
                <w:sz w:val="20"/>
                <w:szCs w:val="20"/>
                <w:color w:val="auto"/>
              </w:rPr>
            </w:pPr>
            <w:r>
              <w:rPr>
                <w:rFonts w:ascii="Arial" w:cs="Arial" w:eastAsia="Arial" w:hAnsi="Arial"/>
                <w:sz w:val="14"/>
                <w:szCs w:val="14"/>
                <w:color w:val="auto"/>
              </w:rPr>
              <w:t>Passengers Transported (thousands)</w:t>
            </w:r>
          </w:p>
        </w:tc>
        <w:tc>
          <w:tcPr>
            <w:tcW w:w="1760" w:type="dxa"/>
            <w:vAlign w:val="bottom"/>
          </w:tcPr>
          <w:p>
            <w:pPr>
              <w:jc w:val="center"/>
              <w:ind w:left="528"/>
              <w:spacing w:after="0"/>
              <w:rPr>
                <w:sz w:val="20"/>
                <w:szCs w:val="20"/>
                <w:color w:val="auto"/>
              </w:rPr>
            </w:pPr>
            <w:r>
              <w:rPr>
                <w:rFonts w:ascii="Arial" w:cs="Arial" w:eastAsia="Arial" w:hAnsi="Arial"/>
                <w:sz w:val="14"/>
                <w:szCs w:val="14"/>
                <w:color w:val="auto"/>
              </w:rPr>
              <w:t>22,880</w:t>
            </w:r>
          </w:p>
        </w:tc>
        <w:tc>
          <w:tcPr>
            <w:tcW w:w="3480" w:type="dxa"/>
            <w:vAlign w:val="bottom"/>
          </w:tcPr>
          <w:p>
            <w:pPr>
              <w:jc w:val="center"/>
              <w:spacing w:after="0"/>
              <w:rPr>
                <w:sz w:val="20"/>
                <w:szCs w:val="20"/>
                <w:color w:val="auto"/>
              </w:rPr>
            </w:pPr>
            <w:r>
              <w:rPr>
                <w:rFonts w:ascii="Arial" w:cs="Arial" w:eastAsia="Arial" w:hAnsi="Arial"/>
                <w:sz w:val="14"/>
                <w:szCs w:val="14"/>
                <w:color w:val="auto"/>
              </w:rPr>
              <w:t>20,968</w:t>
            </w:r>
          </w:p>
        </w:tc>
        <w:tc>
          <w:tcPr>
            <w:tcW w:w="1840" w:type="dxa"/>
            <w:vAlign w:val="bottom"/>
          </w:tcPr>
          <w:p>
            <w:pPr>
              <w:jc w:val="center"/>
              <w:ind w:right="468"/>
              <w:spacing w:after="0"/>
              <w:rPr>
                <w:sz w:val="20"/>
                <w:szCs w:val="20"/>
                <w:color w:val="auto"/>
              </w:rPr>
            </w:pPr>
            <w:r>
              <w:rPr>
                <w:rFonts w:ascii="Arial" w:cs="Arial" w:eastAsia="Arial" w:hAnsi="Arial"/>
                <w:sz w:val="14"/>
                <w:szCs w:val="14"/>
                <w:color w:val="auto"/>
              </w:rPr>
              <w:t>9.1%</w:t>
            </w:r>
          </w:p>
        </w:tc>
      </w:tr>
      <w:tr>
        <w:trPr>
          <w:trHeight w:val="203"/>
        </w:trPr>
        <w:tc>
          <w:tcPr>
            <w:tcW w:w="4000" w:type="dxa"/>
            <w:vAlign w:val="bottom"/>
          </w:tcPr>
          <w:p>
            <w:pPr>
              <w:ind w:left="20"/>
              <w:spacing w:after="0"/>
              <w:rPr>
                <w:sz w:val="20"/>
                <w:szCs w:val="20"/>
                <w:color w:val="auto"/>
              </w:rPr>
            </w:pPr>
            <w:r>
              <w:rPr>
                <w:rFonts w:ascii="Arial" w:cs="Arial" w:eastAsia="Arial" w:hAnsi="Arial"/>
                <w:sz w:val="14"/>
                <w:szCs w:val="14"/>
                <w:color w:val="auto"/>
              </w:rPr>
              <w:t>Load Factor (based on ASKs) %</w:t>
            </w:r>
          </w:p>
        </w:tc>
        <w:tc>
          <w:tcPr>
            <w:tcW w:w="1760" w:type="dxa"/>
            <w:vAlign w:val="bottom"/>
          </w:tcPr>
          <w:p>
            <w:pPr>
              <w:jc w:val="center"/>
              <w:ind w:left="508"/>
              <w:spacing w:after="0"/>
              <w:rPr>
                <w:sz w:val="20"/>
                <w:szCs w:val="20"/>
                <w:color w:val="auto"/>
              </w:rPr>
            </w:pPr>
            <w:r>
              <w:rPr>
                <w:rFonts w:ascii="Arial" w:cs="Arial" w:eastAsia="Arial" w:hAnsi="Arial"/>
                <w:sz w:val="14"/>
                <w:szCs w:val="14"/>
                <w:color w:val="auto"/>
              </w:rPr>
              <w:t>85.3%</w:t>
            </w:r>
          </w:p>
        </w:tc>
        <w:tc>
          <w:tcPr>
            <w:tcW w:w="3480" w:type="dxa"/>
            <w:vAlign w:val="bottom"/>
          </w:tcPr>
          <w:p>
            <w:pPr>
              <w:jc w:val="center"/>
              <w:spacing w:after="0"/>
              <w:rPr>
                <w:sz w:val="20"/>
                <w:szCs w:val="20"/>
                <w:color w:val="auto"/>
              </w:rPr>
            </w:pPr>
            <w:r>
              <w:rPr>
                <w:rFonts w:ascii="Arial" w:cs="Arial" w:eastAsia="Arial" w:hAnsi="Arial"/>
                <w:sz w:val="14"/>
                <w:szCs w:val="14"/>
                <w:color w:val="auto"/>
              </w:rPr>
              <w:t>83.3%</w:t>
            </w:r>
          </w:p>
        </w:tc>
        <w:tc>
          <w:tcPr>
            <w:tcW w:w="1840" w:type="dxa"/>
            <w:vAlign w:val="bottom"/>
          </w:tcPr>
          <w:p>
            <w:pPr>
              <w:jc w:val="center"/>
              <w:ind w:right="448"/>
              <w:spacing w:after="0"/>
              <w:rPr>
                <w:sz w:val="20"/>
                <w:szCs w:val="20"/>
                <w:color w:val="auto"/>
              </w:rPr>
            </w:pPr>
            <w:r>
              <w:rPr>
                <w:rFonts w:ascii="Arial" w:cs="Arial" w:eastAsia="Arial" w:hAnsi="Arial"/>
                <w:sz w:val="14"/>
                <w:szCs w:val="14"/>
                <w:color w:val="auto"/>
              </w:rPr>
              <w:t>2.0pp</w:t>
            </w:r>
          </w:p>
        </w:tc>
      </w:tr>
      <w:tr>
        <w:trPr>
          <w:trHeight w:val="203"/>
        </w:trPr>
        <w:tc>
          <w:tcPr>
            <w:tcW w:w="4000" w:type="dxa"/>
            <w:vAlign w:val="bottom"/>
          </w:tcPr>
          <w:p>
            <w:pPr>
              <w:ind w:left="20"/>
              <w:spacing w:after="0"/>
              <w:rPr>
                <w:sz w:val="20"/>
                <w:szCs w:val="20"/>
                <w:color w:val="auto"/>
              </w:rPr>
            </w:pPr>
            <w:r>
              <w:rPr>
                <w:rFonts w:ascii="Arial" w:cs="Arial" w:eastAsia="Arial" w:hAnsi="Arial"/>
                <w:sz w:val="14"/>
                <w:szCs w:val="14"/>
                <w:color w:val="auto"/>
              </w:rPr>
              <w:t>Yield based on RPKs (US$ cents)</w:t>
            </w:r>
          </w:p>
        </w:tc>
        <w:tc>
          <w:tcPr>
            <w:tcW w:w="1760" w:type="dxa"/>
            <w:vAlign w:val="bottom"/>
          </w:tcPr>
          <w:p>
            <w:pPr>
              <w:jc w:val="center"/>
              <w:ind w:left="528"/>
              <w:spacing w:after="0"/>
              <w:rPr>
                <w:sz w:val="20"/>
                <w:szCs w:val="20"/>
                <w:color w:val="auto"/>
              </w:rPr>
            </w:pPr>
            <w:r>
              <w:rPr>
                <w:rFonts w:ascii="Arial" w:cs="Arial" w:eastAsia="Arial" w:hAnsi="Arial"/>
                <w:sz w:val="14"/>
                <w:szCs w:val="14"/>
                <w:color w:val="auto"/>
              </w:rPr>
              <w:t>9.4</w:t>
            </w:r>
          </w:p>
        </w:tc>
        <w:tc>
          <w:tcPr>
            <w:tcW w:w="3480" w:type="dxa"/>
            <w:vAlign w:val="bottom"/>
          </w:tcPr>
          <w:p>
            <w:pPr>
              <w:jc w:val="center"/>
              <w:spacing w:after="0"/>
              <w:rPr>
                <w:sz w:val="20"/>
                <w:szCs w:val="20"/>
                <w:color w:val="auto"/>
              </w:rPr>
            </w:pPr>
            <w:r>
              <w:rPr>
                <w:rFonts w:ascii="Arial" w:cs="Arial" w:eastAsia="Arial" w:hAnsi="Arial"/>
                <w:sz w:val="14"/>
                <w:szCs w:val="14"/>
                <w:color w:val="auto"/>
              </w:rPr>
              <w:t>8.6</w:t>
            </w:r>
          </w:p>
        </w:tc>
        <w:tc>
          <w:tcPr>
            <w:tcW w:w="1840" w:type="dxa"/>
            <w:vAlign w:val="bottom"/>
          </w:tcPr>
          <w:p>
            <w:pPr>
              <w:jc w:val="center"/>
              <w:ind w:right="468"/>
              <w:spacing w:after="0"/>
              <w:rPr>
                <w:sz w:val="20"/>
                <w:szCs w:val="20"/>
                <w:color w:val="auto"/>
              </w:rPr>
            </w:pPr>
            <w:r>
              <w:rPr>
                <w:rFonts w:ascii="Arial" w:cs="Arial" w:eastAsia="Arial" w:hAnsi="Arial"/>
                <w:sz w:val="14"/>
                <w:szCs w:val="14"/>
                <w:color w:val="auto"/>
              </w:rPr>
              <w:t>10.1%</w:t>
            </w:r>
          </w:p>
        </w:tc>
      </w:tr>
      <w:tr>
        <w:trPr>
          <w:trHeight w:val="203"/>
        </w:trPr>
        <w:tc>
          <w:tcPr>
            <w:tcW w:w="4000" w:type="dxa"/>
            <w:vAlign w:val="bottom"/>
          </w:tcPr>
          <w:p>
            <w:pPr>
              <w:ind w:left="20"/>
              <w:spacing w:after="0"/>
              <w:rPr>
                <w:sz w:val="20"/>
                <w:szCs w:val="20"/>
                <w:color w:val="auto"/>
              </w:rPr>
            </w:pPr>
            <w:r>
              <w:rPr>
                <w:rFonts w:ascii="Arial" w:cs="Arial" w:eastAsia="Arial" w:hAnsi="Arial"/>
                <w:sz w:val="14"/>
                <w:szCs w:val="14"/>
                <w:color w:val="auto"/>
              </w:rPr>
              <w:t>Revenues per ASK (US$ cents)</w:t>
            </w:r>
          </w:p>
        </w:tc>
        <w:tc>
          <w:tcPr>
            <w:tcW w:w="1760" w:type="dxa"/>
            <w:vAlign w:val="bottom"/>
          </w:tcPr>
          <w:p>
            <w:pPr>
              <w:jc w:val="center"/>
              <w:ind w:left="528"/>
              <w:spacing w:after="0"/>
              <w:rPr>
                <w:sz w:val="20"/>
                <w:szCs w:val="20"/>
                <w:color w:val="auto"/>
              </w:rPr>
            </w:pPr>
            <w:r>
              <w:rPr>
                <w:rFonts w:ascii="Arial" w:cs="Arial" w:eastAsia="Arial" w:hAnsi="Arial"/>
                <w:sz w:val="14"/>
                <w:szCs w:val="14"/>
                <w:color w:val="auto"/>
              </w:rPr>
              <w:t>8.0</w:t>
            </w:r>
          </w:p>
        </w:tc>
        <w:tc>
          <w:tcPr>
            <w:tcW w:w="3480" w:type="dxa"/>
            <w:vAlign w:val="bottom"/>
          </w:tcPr>
          <w:p>
            <w:pPr>
              <w:jc w:val="center"/>
              <w:spacing w:after="0"/>
              <w:rPr>
                <w:sz w:val="20"/>
                <w:szCs w:val="20"/>
                <w:color w:val="auto"/>
              </w:rPr>
            </w:pPr>
            <w:r>
              <w:rPr>
                <w:rFonts w:ascii="Arial" w:cs="Arial" w:eastAsia="Arial" w:hAnsi="Arial"/>
                <w:sz w:val="14"/>
                <w:szCs w:val="14"/>
                <w:color w:val="auto"/>
              </w:rPr>
              <w:t>7.1</w:t>
            </w:r>
          </w:p>
        </w:tc>
        <w:tc>
          <w:tcPr>
            <w:tcW w:w="1840" w:type="dxa"/>
            <w:vAlign w:val="bottom"/>
          </w:tcPr>
          <w:p>
            <w:pPr>
              <w:jc w:val="center"/>
              <w:ind w:right="468"/>
              <w:spacing w:after="0"/>
              <w:rPr>
                <w:sz w:val="20"/>
                <w:szCs w:val="20"/>
                <w:color w:val="auto"/>
              </w:rPr>
            </w:pPr>
            <w:r>
              <w:rPr>
                <w:rFonts w:ascii="Arial" w:cs="Arial" w:eastAsia="Arial" w:hAnsi="Arial"/>
                <w:sz w:val="14"/>
                <w:szCs w:val="14"/>
                <w:color w:val="auto"/>
              </w:rPr>
              <w:t>12.7%</w:t>
            </w:r>
          </w:p>
        </w:tc>
      </w:tr>
      <w:tr>
        <w:trPr>
          <w:trHeight w:val="466"/>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Cargo</w:t>
            </w:r>
          </w:p>
        </w:tc>
        <w:tc>
          <w:tcPr>
            <w:tcW w:w="17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r>
        <w:trPr>
          <w:trHeight w:val="189"/>
        </w:trPr>
        <w:tc>
          <w:tcPr>
            <w:tcW w:w="4000" w:type="dxa"/>
            <w:vAlign w:val="bottom"/>
          </w:tcPr>
          <w:p>
            <w:pPr>
              <w:ind w:left="20"/>
              <w:spacing w:after="0"/>
              <w:rPr>
                <w:sz w:val="20"/>
                <w:szCs w:val="20"/>
                <w:color w:val="auto"/>
              </w:rPr>
            </w:pPr>
            <w:r>
              <w:rPr>
                <w:rFonts w:ascii="Arial" w:cs="Arial" w:eastAsia="Arial" w:hAnsi="Arial"/>
                <w:sz w:val="14"/>
                <w:szCs w:val="14"/>
                <w:color w:val="auto"/>
              </w:rPr>
              <w:t>ATKs (millions)</w:t>
            </w:r>
          </w:p>
        </w:tc>
        <w:tc>
          <w:tcPr>
            <w:tcW w:w="1760" w:type="dxa"/>
            <w:vAlign w:val="bottom"/>
          </w:tcPr>
          <w:p>
            <w:pPr>
              <w:jc w:val="center"/>
              <w:ind w:left="528"/>
              <w:spacing w:after="0"/>
              <w:rPr>
                <w:sz w:val="20"/>
                <w:szCs w:val="20"/>
                <w:color w:val="auto"/>
              </w:rPr>
            </w:pPr>
            <w:r>
              <w:rPr>
                <w:rFonts w:ascii="Arial" w:cs="Arial" w:eastAsia="Arial" w:hAnsi="Arial"/>
                <w:sz w:val="14"/>
                <w:szCs w:val="14"/>
                <w:color w:val="auto"/>
              </w:rPr>
              <w:t>2,155</w:t>
            </w:r>
          </w:p>
        </w:tc>
        <w:tc>
          <w:tcPr>
            <w:tcW w:w="3480" w:type="dxa"/>
            <w:vAlign w:val="bottom"/>
          </w:tcPr>
          <w:p>
            <w:pPr>
              <w:jc w:val="center"/>
              <w:spacing w:after="0"/>
              <w:rPr>
                <w:sz w:val="20"/>
                <w:szCs w:val="20"/>
                <w:color w:val="auto"/>
              </w:rPr>
            </w:pPr>
            <w:r>
              <w:rPr>
                <w:rFonts w:ascii="Arial" w:cs="Arial" w:eastAsia="Arial" w:hAnsi="Arial"/>
                <w:sz w:val="14"/>
                <w:szCs w:val="14"/>
                <w:color w:val="auto"/>
              </w:rPr>
              <w:t>2,016</w:t>
            </w:r>
          </w:p>
        </w:tc>
        <w:tc>
          <w:tcPr>
            <w:tcW w:w="1840" w:type="dxa"/>
            <w:vAlign w:val="bottom"/>
          </w:tcPr>
          <w:p>
            <w:pPr>
              <w:jc w:val="center"/>
              <w:ind w:right="468"/>
              <w:spacing w:after="0"/>
              <w:rPr>
                <w:sz w:val="20"/>
                <w:szCs w:val="20"/>
                <w:color w:val="auto"/>
              </w:rPr>
            </w:pPr>
            <w:r>
              <w:rPr>
                <w:rFonts w:ascii="Arial" w:cs="Arial" w:eastAsia="Arial" w:hAnsi="Arial"/>
                <w:sz w:val="14"/>
                <w:szCs w:val="14"/>
                <w:color w:val="auto"/>
              </w:rPr>
              <w:t>6.9%</w:t>
            </w:r>
          </w:p>
        </w:tc>
      </w:tr>
      <w:tr>
        <w:trPr>
          <w:trHeight w:val="203"/>
        </w:trPr>
        <w:tc>
          <w:tcPr>
            <w:tcW w:w="4000" w:type="dxa"/>
            <w:vAlign w:val="bottom"/>
          </w:tcPr>
          <w:p>
            <w:pPr>
              <w:ind w:left="20"/>
              <w:spacing w:after="0"/>
              <w:rPr>
                <w:sz w:val="20"/>
                <w:szCs w:val="20"/>
                <w:color w:val="auto"/>
              </w:rPr>
            </w:pPr>
            <w:r>
              <w:rPr>
                <w:rFonts w:ascii="Arial" w:cs="Arial" w:eastAsia="Arial" w:hAnsi="Arial"/>
                <w:sz w:val="14"/>
                <w:szCs w:val="14"/>
                <w:color w:val="auto"/>
              </w:rPr>
              <w:t>RTKs (millions)</w:t>
            </w:r>
          </w:p>
        </w:tc>
        <w:tc>
          <w:tcPr>
            <w:tcW w:w="1760" w:type="dxa"/>
            <w:vAlign w:val="bottom"/>
          </w:tcPr>
          <w:p>
            <w:pPr>
              <w:jc w:val="center"/>
              <w:ind w:left="528"/>
              <w:spacing w:after="0"/>
              <w:rPr>
                <w:sz w:val="20"/>
                <w:szCs w:val="20"/>
                <w:color w:val="auto"/>
              </w:rPr>
            </w:pPr>
            <w:r>
              <w:rPr>
                <w:rFonts w:ascii="Arial" w:cs="Arial" w:eastAsia="Arial" w:hAnsi="Arial"/>
                <w:sz w:val="14"/>
                <w:szCs w:val="14"/>
                <w:color w:val="auto"/>
              </w:rPr>
              <w:t>1,097</w:t>
            </w:r>
          </w:p>
        </w:tc>
        <w:tc>
          <w:tcPr>
            <w:tcW w:w="3480" w:type="dxa"/>
            <w:vAlign w:val="bottom"/>
          </w:tcPr>
          <w:p>
            <w:pPr>
              <w:jc w:val="center"/>
              <w:spacing w:after="0"/>
              <w:rPr>
                <w:sz w:val="20"/>
                <w:szCs w:val="20"/>
                <w:color w:val="auto"/>
              </w:rPr>
            </w:pPr>
            <w:r>
              <w:rPr>
                <w:rFonts w:ascii="Arial" w:cs="Arial" w:eastAsia="Arial" w:hAnsi="Arial"/>
                <w:sz w:val="14"/>
                <w:szCs w:val="14"/>
                <w:color w:val="auto"/>
              </w:rPr>
              <w:t>1,068</w:t>
            </w:r>
          </w:p>
        </w:tc>
        <w:tc>
          <w:tcPr>
            <w:tcW w:w="1840" w:type="dxa"/>
            <w:vAlign w:val="bottom"/>
          </w:tcPr>
          <w:p>
            <w:pPr>
              <w:jc w:val="center"/>
              <w:ind w:right="468"/>
              <w:spacing w:after="0"/>
              <w:rPr>
                <w:sz w:val="20"/>
                <w:szCs w:val="20"/>
                <w:color w:val="auto"/>
              </w:rPr>
            </w:pPr>
            <w:r>
              <w:rPr>
                <w:rFonts w:ascii="Arial" w:cs="Arial" w:eastAsia="Arial" w:hAnsi="Arial"/>
                <w:sz w:val="14"/>
                <w:szCs w:val="14"/>
                <w:color w:val="auto"/>
              </w:rPr>
              <w:t>2.7%</w:t>
            </w:r>
          </w:p>
        </w:tc>
      </w:tr>
      <w:tr>
        <w:trPr>
          <w:trHeight w:val="203"/>
        </w:trPr>
        <w:tc>
          <w:tcPr>
            <w:tcW w:w="4000" w:type="dxa"/>
            <w:vAlign w:val="bottom"/>
          </w:tcPr>
          <w:p>
            <w:pPr>
              <w:ind w:left="20"/>
              <w:spacing w:after="0"/>
              <w:rPr>
                <w:sz w:val="20"/>
                <w:szCs w:val="20"/>
                <w:color w:val="auto"/>
              </w:rPr>
            </w:pPr>
            <w:r>
              <w:rPr>
                <w:rFonts w:ascii="Arial" w:cs="Arial" w:eastAsia="Arial" w:hAnsi="Arial"/>
                <w:sz w:val="14"/>
                <w:szCs w:val="14"/>
                <w:color w:val="auto"/>
              </w:rPr>
              <w:t>Tons Transported (thousands)</w:t>
            </w:r>
          </w:p>
        </w:tc>
        <w:tc>
          <w:tcPr>
            <w:tcW w:w="1760" w:type="dxa"/>
            <w:vAlign w:val="bottom"/>
          </w:tcPr>
          <w:p>
            <w:pPr>
              <w:jc w:val="center"/>
              <w:ind w:left="528"/>
              <w:spacing w:after="0"/>
              <w:rPr>
                <w:sz w:val="20"/>
                <w:szCs w:val="20"/>
                <w:color w:val="auto"/>
              </w:rPr>
            </w:pPr>
            <w:r>
              <w:rPr>
                <w:rFonts w:ascii="Arial" w:cs="Arial" w:eastAsia="Arial" w:hAnsi="Arial"/>
                <w:sz w:val="14"/>
                <w:szCs w:val="14"/>
                <w:color w:val="auto"/>
              </w:rPr>
              <w:t>251</w:t>
            </w:r>
          </w:p>
        </w:tc>
        <w:tc>
          <w:tcPr>
            <w:tcW w:w="3480" w:type="dxa"/>
            <w:vAlign w:val="bottom"/>
          </w:tcPr>
          <w:p>
            <w:pPr>
              <w:jc w:val="center"/>
              <w:spacing w:after="0"/>
              <w:rPr>
                <w:sz w:val="20"/>
                <w:szCs w:val="20"/>
                <w:color w:val="auto"/>
              </w:rPr>
            </w:pPr>
            <w:r>
              <w:rPr>
                <w:rFonts w:ascii="Arial" w:cs="Arial" w:eastAsia="Arial" w:hAnsi="Arial"/>
                <w:sz w:val="14"/>
                <w:szCs w:val="14"/>
                <w:color w:val="auto"/>
              </w:rPr>
              <w:t>244</w:t>
            </w:r>
          </w:p>
        </w:tc>
        <w:tc>
          <w:tcPr>
            <w:tcW w:w="1840" w:type="dxa"/>
            <w:vAlign w:val="bottom"/>
          </w:tcPr>
          <w:p>
            <w:pPr>
              <w:jc w:val="center"/>
              <w:ind w:right="468"/>
              <w:spacing w:after="0"/>
              <w:rPr>
                <w:sz w:val="20"/>
                <w:szCs w:val="20"/>
                <w:color w:val="auto"/>
              </w:rPr>
            </w:pPr>
            <w:r>
              <w:rPr>
                <w:rFonts w:ascii="Arial" w:cs="Arial" w:eastAsia="Arial" w:hAnsi="Arial"/>
                <w:sz w:val="14"/>
                <w:szCs w:val="14"/>
                <w:color w:val="auto"/>
              </w:rPr>
              <w:t>3.1%</w:t>
            </w:r>
          </w:p>
        </w:tc>
      </w:tr>
      <w:tr>
        <w:trPr>
          <w:trHeight w:val="203"/>
        </w:trPr>
        <w:tc>
          <w:tcPr>
            <w:tcW w:w="4000" w:type="dxa"/>
            <w:vAlign w:val="bottom"/>
          </w:tcPr>
          <w:p>
            <w:pPr>
              <w:ind w:left="20"/>
              <w:spacing w:after="0"/>
              <w:rPr>
                <w:sz w:val="20"/>
                <w:szCs w:val="20"/>
                <w:color w:val="auto"/>
              </w:rPr>
            </w:pPr>
            <w:r>
              <w:rPr>
                <w:rFonts w:ascii="Arial" w:cs="Arial" w:eastAsia="Arial" w:hAnsi="Arial"/>
                <w:sz w:val="14"/>
                <w:szCs w:val="14"/>
                <w:color w:val="auto"/>
              </w:rPr>
              <w:t>Load Factor (based on ATKs) %</w:t>
            </w:r>
          </w:p>
        </w:tc>
        <w:tc>
          <w:tcPr>
            <w:tcW w:w="1760" w:type="dxa"/>
            <w:vAlign w:val="bottom"/>
          </w:tcPr>
          <w:p>
            <w:pPr>
              <w:jc w:val="center"/>
              <w:ind w:left="508"/>
              <w:spacing w:after="0"/>
              <w:rPr>
                <w:sz w:val="20"/>
                <w:szCs w:val="20"/>
                <w:color w:val="auto"/>
              </w:rPr>
            </w:pPr>
            <w:r>
              <w:rPr>
                <w:rFonts w:ascii="Arial" w:cs="Arial" w:eastAsia="Arial" w:hAnsi="Arial"/>
                <w:sz w:val="14"/>
                <w:szCs w:val="14"/>
                <w:color w:val="auto"/>
              </w:rPr>
              <w:t>50.9%</w:t>
            </w:r>
          </w:p>
        </w:tc>
        <w:tc>
          <w:tcPr>
            <w:tcW w:w="3480" w:type="dxa"/>
            <w:vAlign w:val="bottom"/>
          </w:tcPr>
          <w:p>
            <w:pPr>
              <w:jc w:val="center"/>
              <w:spacing w:after="0"/>
              <w:rPr>
                <w:sz w:val="20"/>
                <w:szCs w:val="20"/>
                <w:color w:val="auto"/>
              </w:rPr>
            </w:pPr>
            <w:r>
              <w:rPr>
                <w:rFonts w:ascii="Arial" w:cs="Arial" w:eastAsia="Arial" w:hAnsi="Arial"/>
                <w:sz w:val="14"/>
                <w:szCs w:val="14"/>
                <w:color w:val="auto"/>
              </w:rPr>
              <w:t>53.0%</w:t>
            </w:r>
          </w:p>
        </w:tc>
        <w:tc>
          <w:tcPr>
            <w:tcW w:w="1840" w:type="dxa"/>
            <w:vAlign w:val="bottom"/>
          </w:tcPr>
          <w:p>
            <w:pPr>
              <w:jc w:val="center"/>
              <w:ind w:right="468"/>
              <w:spacing w:after="0"/>
              <w:rPr>
                <w:sz w:val="20"/>
                <w:szCs w:val="20"/>
                <w:color w:val="auto"/>
              </w:rPr>
            </w:pPr>
            <w:r>
              <w:rPr>
                <w:rFonts w:ascii="Arial" w:cs="Arial" w:eastAsia="Arial" w:hAnsi="Arial"/>
                <w:sz w:val="14"/>
                <w:szCs w:val="14"/>
                <w:color w:val="auto"/>
              </w:rPr>
              <w:t>(2.1pp)</w:t>
            </w:r>
          </w:p>
        </w:tc>
      </w:tr>
      <w:tr>
        <w:trPr>
          <w:trHeight w:val="203"/>
        </w:trPr>
        <w:tc>
          <w:tcPr>
            <w:tcW w:w="4000" w:type="dxa"/>
            <w:vAlign w:val="bottom"/>
          </w:tcPr>
          <w:p>
            <w:pPr>
              <w:ind w:left="20"/>
              <w:spacing w:after="0"/>
              <w:rPr>
                <w:sz w:val="20"/>
                <w:szCs w:val="20"/>
                <w:color w:val="auto"/>
              </w:rPr>
            </w:pPr>
            <w:r>
              <w:rPr>
                <w:rFonts w:ascii="Arial" w:cs="Arial" w:eastAsia="Arial" w:hAnsi="Arial"/>
                <w:sz w:val="14"/>
                <w:szCs w:val="14"/>
                <w:color w:val="auto"/>
              </w:rPr>
              <w:t>Yield based on RTKs (US$ cents)</w:t>
            </w:r>
          </w:p>
        </w:tc>
        <w:tc>
          <w:tcPr>
            <w:tcW w:w="1760" w:type="dxa"/>
            <w:vAlign w:val="bottom"/>
          </w:tcPr>
          <w:p>
            <w:pPr>
              <w:jc w:val="center"/>
              <w:ind w:left="528"/>
              <w:spacing w:after="0"/>
              <w:rPr>
                <w:sz w:val="20"/>
                <w:szCs w:val="20"/>
                <w:color w:val="auto"/>
              </w:rPr>
            </w:pPr>
            <w:r>
              <w:rPr>
                <w:rFonts w:ascii="Arial" w:cs="Arial" w:eastAsia="Arial" w:hAnsi="Arial"/>
                <w:sz w:val="14"/>
                <w:szCs w:val="14"/>
                <w:color w:val="auto"/>
              </w:rPr>
              <w:t>38.2</w:t>
            </w:r>
          </w:p>
        </w:tc>
        <w:tc>
          <w:tcPr>
            <w:tcW w:w="3480" w:type="dxa"/>
            <w:vAlign w:val="bottom"/>
          </w:tcPr>
          <w:p>
            <w:pPr>
              <w:jc w:val="center"/>
              <w:spacing w:after="0"/>
              <w:rPr>
                <w:sz w:val="20"/>
                <w:szCs w:val="20"/>
                <w:color w:val="auto"/>
              </w:rPr>
            </w:pPr>
            <w:r>
              <w:rPr>
                <w:rFonts w:ascii="Arial" w:cs="Arial" w:eastAsia="Arial" w:hAnsi="Arial"/>
                <w:sz w:val="14"/>
                <w:szCs w:val="14"/>
                <w:color w:val="auto"/>
              </w:rPr>
              <w:t>38.0</w:t>
            </w:r>
          </w:p>
        </w:tc>
        <w:tc>
          <w:tcPr>
            <w:tcW w:w="1840" w:type="dxa"/>
            <w:vAlign w:val="bottom"/>
          </w:tcPr>
          <w:p>
            <w:pPr>
              <w:jc w:val="center"/>
              <w:ind w:right="468"/>
              <w:spacing w:after="0"/>
              <w:rPr>
                <w:sz w:val="20"/>
                <w:szCs w:val="20"/>
                <w:color w:val="auto"/>
              </w:rPr>
            </w:pPr>
            <w:r>
              <w:rPr>
                <w:rFonts w:ascii="Arial" w:cs="Arial" w:eastAsia="Arial" w:hAnsi="Arial"/>
                <w:sz w:val="14"/>
                <w:szCs w:val="14"/>
                <w:color w:val="auto"/>
              </w:rPr>
              <w:t>0.7%</w:t>
            </w:r>
          </w:p>
        </w:tc>
      </w:tr>
      <w:tr>
        <w:trPr>
          <w:trHeight w:val="203"/>
        </w:trPr>
        <w:tc>
          <w:tcPr>
            <w:tcW w:w="4000" w:type="dxa"/>
            <w:vAlign w:val="bottom"/>
          </w:tcPr>
          <w:p>
            <w:pPr>
              <w:ind w:left="20"/>
              <w:spacing w:after="0"/>
              <w:rPr>
                <w:sz w:val="20"/>
                <w:szCs w:val="20"/>
                <w:color w:val="auto"/>
              </w:rPr>
            </w:pPr>
            <w:r>
              <w:rPr>
                <w:rFonts w:ascii="Arial" w:cs="Arial" w:eastAsia="Arial" w:hAnsi="Arial"/>
                <w:sz w:val="14"/>
                <w:szCs w:val="14"/>
                <w:color w:val="auto"/>
              </w:rPr>
              <w:t>Revenues per ATK (US$ cents)</w:t>
            </w:r>
          </w:p>
        </w:tc>
        <w:tc>
          <w:tcPr>
            <w:tcW w:w="1760" w:type="dxa"/>
            <w:vAlign w:val="bottom"/>
          </w:tcPr>
          <w:p>
            <w:pPr>
              <w:jc w:val="center"/>
              <w:ind w:left="528"/>
              <w:spacing w:after="0"/>
              <w:rPr>
                <w:sz w:val="20"/>
                <w:szCs w:val="20"/>
                <w:color w:val="auto"/>
              </w:rPr>
            </w:pPr>
            <w:r>
              <w:rPr>
                <w:rFonts w:ascii="Arial" w:cs="Arial" w:eastAsia="Arial" w:hAnsi="Arial"/>
                <w:sz w:val="14"/>
                <w:szCs w:val="14"/>
                <w:color w:val="auto"/>
              </w:rPr>
              <w:t>19.5</w:t>
            </w:r>
          </w:p>
        </w:tc>
        <w:tc>
          <w:tcPr>
            <w:tcW w:w="3480" w:type="dxa"/>
            <w:vAlign w:val="bottom"/>
          </w:tcPr>
          <w:p>
            <w:pPr>
              <w:jc w:val="center"/>
              <w:spacing w:after="0"/>
              <w:rPr>
                <w:sz w:val="20"/>
                <w:szCs w:val="20"/>
                <w:color w:val="auto"/>
              </w:rPr>
            </w:pPr>
            <w:r>
              <w:rPr>
                <w:rFonts w:ascii="Arial" w:cs="Arial" w:eastAsia="Arial" w:hAnsi="Arial"/>
                <w:sz w:val="14"/>
                <w:szCs w:val="14"/>
                <w:color w:val="auto"/>
              </w:rPr>
              <w:t>20.1</w:t>
            </w:r>
          </w:p>
        </w:tc>
        <w:tc>
          <w:tcPr>
            <w:tcW w:w="1840" w:type="dxa"/>
            <w:vAlign w:val="bottom"/>
          </w:tcPr>
          <w:p>
            <w:pPr>
              <w:jc w:val="center"/>
              <w:ind w:right="468"/>
              <w:spacing w:after="0"/>
              <w:rPr>
                <w:sz w:val="20"/>
                <w:szCs w:val="20"/>
                <w:color w:val="auto"/>
              </w:rPr>
            </w:pPr>
            <w:r>
              <w:rPr>
                <w:rFonts w:ascii="Arial" w:cs="Arial" w:eastAsia="Arial" w:hAnsi="Arial"/>
                <w:sz w:val="14"/>
                <w:szCs w:val="14"/>
                <w:color w:val="auto"/>
              </w:rPr>
              <w:t>(3.3%)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64" w:lineRule="auto"/>
        <w:rPr>
          <w:sz w:val="20"/>
          <w:szCs w:val="20"/>
          <w:color w:val="auto"/>
        </w:rPr>
      </w:pPr>
      <w:r>
        <w:rPr>
          <w:rFonts w:ascii="Arial" w:cs="Arial" w:eastAsia="Arial" w:hAnsi="Arial"/>
          <w:sz w:val="14"/>
          <w:szCs w:val="14"/>
          <w:b w:val="1"/>
          <w:bCs w:val="1"/>
          <w:color w:val="6D6D6D"/>
        </w:rPr>
        <w:t xml:space="preserve">Note: </w:t>
      </w:r>
      <w:r>
        <w:rPr>
          <w:rFonts w:ascii="Arial" w:cs="Arial" w:eastAsia="Arial" w:hAnsi="Arial"/>
          <w:sz w:val="14"/>
          <w:szCs w:val="14"/>
          <w:color w:val="6D6D6D"/>
        </w:rPr>
        <w:t>Adjusted figures include adjustments to add back the effect of other gains and losses, variable Aircraft Rental expenses (non-cash P&amp;L effect) and employee</w:t>
      </w:r>
      <w:r>
        <w:rPr>
          <w:rFonts w:ascii="Arial" w:cs="Arial" w:eastAsia="Arial" w:hAnsi="Arial"/>
          <w:sz w:val="14"/>
          <w:szCs w:val="14"/>
          <w:b w:val="1"/>
          <w:bCs w:val="1"/>
          <w:color w:val="6D6D6D"/>
        </w:rPr>
        <w:t xml:space="preserve"> </w:t>
      </w:r>
      <w:r>
        <w:rPr>
          <w:rFonts w:ascii="Arial" w:cs="Arial" w:eastAsia="Arial" w:hAnsi="Arial"/>
          <w:sz w:val="14"/>
          <w:szCs w:val="14"/>
          <w:color w:val="6D6D6D"/>
        </w:rPr>
        <w:t>compensation associated with the Corporate Incentive Plan. Adjusted Passenger CASK ex fuel also excludes cargo costs associated with belly and freighter operations.</w:t>
      </w:r>
    </w:p>
    <w:p>
      <w:pPr>
        <w:sectPr>
          <w:pgSz w:w="11900" w:h="16838" w:orient="portrait"/>
          <w:cols w:equalWidth="0" w:num="1">
            <w:col w:w="11240"/>
          </w:cols>
          <w:pgMar w:left="320" w:top="3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7F7F7F"/>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86359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63590" cy="6858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type w:val="continuous"/>
        </w:sectPr>
      </w:pPr>
    </w:p>
    <w:bookmarkStart w:id="13" w:name="page14"/>
    <w:bookmarkEnd w:id="13"/>
    <w:p>
      <w:pPr>
        <w:ind w:left="140" w:right="10100"/>
        <w:spacing w:after="0" w:line="249" w:lineRule="auto"/>
        <w:rPr>
          <w:sz w:val="20"/>
          <w:szCs w:val="20"/>
          <w:color w:val="auto"/>
        </w:rPr>
      </w:pPr>
      <w:r>
        <w:rPr>
          <w:rFonts w:ascii="Arial" w:cs="Arial" w:eastAsia="Arial" w:hAnsi="Arial"/>
          <w:sz w:val="25"/>
          <w:szCs w:val="25"/>
          <w:i w:val="1"/>
          <w:i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5829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582930"/>
                    </a:xfrm>
                    <a:prstGeom prst="rect">
                      <a:avLst/>
                    </a:prstGeom>
                    <a:noFill/>
                  </pic:spPr>
                </pic:pic>
              </a:graphicData>
            </a:graphic>
          </wp:anchor>
        </w:drawing>
        <w:t>1Q 2026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LATAM Airlines Group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Financial Results for the First Quarter 2026 </w:t>
      </w:r>
      <w:r>
        <w:rPr>
          <w:rFonts w:ascii="Arial" w:cs="Arial" w:eastAsia="Arial" w:hAnsi="Arial"/>
          <w:sz w:val="18"/>
          <w:szCs w:val="18"/>
          <w:color w:val="auto"/>
        </w:rPr>
        <w:t>(in thousands of US Dollars)</w:t>
      </w:r>
    </w:p>
    <w:p>
      <w:pPr>
        <w:spacing w:after="0" w:line="298"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5400" w:type="dxa"/>
            <w:vAlign w:val="bottom"/>
            <w:shd w:val="clear" w:color="auto" w:fill="1B0088"/>
          </w:tcPr>
          <w:p>
            <w:pPr>
              <w:spacing w:after="0"/>
              <w:rPr>
                <w:sz w:val="17"/>
                <w:szCs w:val="17"/>
                <w:color w:val="auto"/>
              </w:rPr>
            </w:pPr>
          </w:p>
        </w:tc>
        <w:tc>
          <w:tcPr>
            <w:tcW w:w="1120" w:type="dxa"/>
            <w:vAlign w:val="bottom"/>
            <w:shd w:val="clear" w:color="auto" w:fill="1B0088"/>
          </w:tcPr>
          <w:p>
            <w:pPr>
              <w:spacing w:after="0"/>
              <w:rPr>
                <w:sz w:val="17"/>
                <w:szCs w:val="17"/>
                <w:color w:val="auto"/>
              </w:rPr>
            </w:pPr>
          </w:p>
        </w:tc>
        <w:tc>
          <w:tcPr>
            <w:tcW w:w="3480" w:type="dxa"/>
            <w:vAlign w:val="bottom"/>
            <w:gridSpan w:val="3"/>
            <w:shd w:val="clear" w:color="auto" w:fill="1B0088"/>
          </w:tcPr>
          <w:p>
            <w:pPr>
              <w:jc w:val="center"/>
              <w:spacing w:after="0"/>
              <w:rPr>
                <w:sz w:val="20"/>
                <w:szCs w:val="20"/>
                <w:color w:val="auto"/>
              </w:rPr>
            </w:pPr>
            <w:r>
              <w:rPr>
                <w:rFonts w:ascii="Arial" w:cs="Arial" w:eastAsia="Arial" w:hAnsi="Arial"/>
                <w:sz w:val="14"/>
                <w:szCs w:val="14"/>
                <w:color w:val="FFFFFF"/>
              </w:rPr>
              <w:t>For the three month period ended March 31</w:t>
            </w:r>
          </w:p>
        </w:tc>
        <w:tc>
          <w:tcPr>
            <w:tcW w:w="1080" w:type="dxa"/>
            <w:vAlign w:val="bottom"/>
            <w:shd w:val="clear" w:color="auto" w:fill="1B0088"/>
          </w:tcPr>
          <w:p>
            <w:pPr>
              <w:spacing w:after="0"/>
              <w:rPr>
                <w:sz w:val="17"/>
                <w:szCs w:val="17"/>
                <w:color w:val="auto"/>
              </w:rPr>
            </w:pPr>
          </w:p>
        </w:tc>
      </w:tr>
      <w:tr>
        <w:trPr>
          <w:trHeight w:val="203"/>
        </w:trPr>
        <w:tc>
          <w:tcPr>
            <w:tcW w:w="5400" w:type="dxa"/>
            <w:vAlign w:val="bottom"/>
            <w:shd w:val="clear" w:color="auto" w:fill="1B0088"/>
          </w:tcPr>
          <w:p>
            <w:pPr>
              <w:spacing w:after="0"/>
              <w:rPr>
                <w:sz w:val="17"/>
                <w:szCs w:val="17"/>
                <w:color w:val="auto"/>
              </w:rPr>
            </w:pPr>
          </w:p>
        </w:tc>
        <w:tc>
          <w:tcPr>
            <w:tcW w:w="1120" w:type="dxa"/>
            <w:vAlign w:val="bottom"/>
            <w:shd w:val="clear" w:color="auto" w:fill="1B0088"/>
          </w:tcPr>
          <w:p>
            <w:pPr>
              <w:jc w:val="center"/>
              <w:spacing w:after="0"/>
              <w:rPr>
                <w:sz w:val="20"/>
                <w:szCs w:val="20"/>
                <w:color w:val="auto"/>
              </w:rPr>
            </w:pPr>
            <w:r>
              <w:rPr>
                <w:rFonts w:ascii="Arial" w:cs="Arial" w:eastAsia="Arial" w:hAnsi="Arial"/>
                <w:sz w:val="14"/>
                <w:szCs w:val="14"/>
                <w:color w:val="FFFFFF"/>
              </w:rPr>
              <w:t>2026</w:t>
            </w:r>
          </w:p>
        </w:tc>
        <w:tc>
          <w:tcPr>
            <w:tcW w:w="1120" w:type="dxa"/>
            <w:vAlign w:val="bottom"/>
            <w:shd w:val="clear" w:color="auto" w:fill="1B0088"/>
          </w:tcPr>
          <w:p>
            <w:pPr>
              <w:ind w:left="200"/>
              <w:spacing w:after="0"/>
              <w:rPr>
                <w:sz w:val="20"/>
                <w:szCs w:val="20"/>
                <w:color w:val="auto"/>
              </w:rPr>
            </w:pPr>
            <w:r>
              <w:rPr>
                <w:rFonts w:ascii="Arial" w:cs="Arial" w:eastAsia="Arial" w:hAnsi="Arial"/>
                <w:sz w:val="14"/>
                <w:szCs w:val="14"/>
                <w:color w:val="FFFFFF"/>
              </w:rPr>
              <w:t>Adjustments</w:t>
            </w:r>
          </w:p>
        </w:tc>
        <w:tc>
          <w:tcPr>
            <w:tcW w:w="1180" w:type="dxa"/>
            <w:vAlign w:val="bottom"/>
            <w:shd w:val="clear" w:color="auto" w:fill="1B0088"/>
          </w:tcPr>
          <w:p>
            <w:pPr>
              <w:jc w:val="center"/>
              <w:spacing w:after="0"/>
              <w:rPr>
                <w:sz w:val="20"/>
                <w:szCs w:val="20"/>
                <w:color w:val="auto"/>
              </w:rPr>
            </w:pPr>
            <w:r>
              <w:rPr>
                <w:rFonts w:ascii="Arial" w:cs="Arial" w:eastAsia="Arial" w:hAnsi="Arial"/>
                <w:sz w:val="14"/>
                <w:szCs w:val="14"/>
                <w:color w:val="FFFFFF"/>
              </w:rPr>
              <w:t>2026 Adjusted</w:t>
            </w:r>
          </w:p>
        </w:tc>
        <w:tc>
          <w:tcPr>
            <w:tcW w:w="1180" w:type="dxa"/>
            <w:vAlign w:val="bottom"/>
            <w:shd w:val="clear" w:color="auto" w:fill="1B0088"/>
          </w:tcPr>
          <w:p>
            <w:pPr>
              <w:ind w:left="100"/>
              <w:spacing w:after="0"/>
              <w:rPr>
                <w:sz w:val="20"/>
                <w:szCs w:val="20"/>
                <w:color w:val="auto"/>
              </w:rPr>
            </w:pPr>
            <w:r>
              <w:rPr>
                <w:rFonts w:ascii="Arial" w:cs="Arial" w:eastAsia="Arial" w:hAnsi="Arial"/>
                <w:sz w:val="14"/>
                <w:szCs w:val="14"/>
                <w:color w:val="FFFFFF"/>
              </w:rPr>
              <w:t>2025 Adjusted</w:t>
            </w:r>
          </w:p>
        </w:tc>
        <w:tc>
          <w:tcPr>
            <w:tcW w:w="1080" w:type="dxa"/>
            <w:vAlign w:val="bottom"/>
            <w:shd w:val="clear" w:color="auto" w:fill="1B0088"/>
          </w:tcPr>
          <w:p>
            <w:pPr>
              <w:jc w:val="center"/>
              <w:spacing w:after="0"/>
              <w:rPr>
                <w:sz w:val="20"/>
                <w:szCs w:val="20"/>
                <w:color w:val="auto"/>
              </w:rPr>
            </w:pPr>
            <w:r>
              <w:rPr>
                <w:rFonts w:ascii="Arial" w:cs="Arial" w:eastAsia="Arial" w:hAnsi="Arial"/>
                <w:sz w:val="14"/>
                <w:szCs w:val="14"/>
                <w:color w:val="FFFFFF"/>
              </w:rPr>
              <w:t>% Change</w:t>
            </w:r>
          </w:p>
        </w:tc>
      </w:tr>
      <w:tr>
        <w:trPr>
          <w:trHeight w:val="200"/>
        </w:trPr>
        <w:tc>
          <w:tcPr>
            <w:tcW w:w="540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7"/>
        </w:trPr>
        <w:tc>
          <w:tcPr>
            <w:tcW w:w="5400" w:type="dxa"/>
            <w:vAlign w:val="bottom"/>
          </w:tcPr>
          <w:p>
            <w:pPr>
              <w:ind w:left="20"/>
              <w:spacing w:after="0"/>
              <w:rPr>
                <w:sz w:val="20"/>
                <w:szCs w:val="20"/>
                <w:color w:val="auto"/>
              </w:rPr>
            </w:pPr>
            <w:r>
              <w:rPr>
                <w:rFonts w:ascii="Arial" w:cs="Arial" w:eastAsia="Arial" w:hAnsi="Arial"/>
                <w:sz w:val="14"/>
                <w:szCs w:val="14"/>
                <w:color w:val="auto"/>
              </w:rPr>
              <w:t>Passenger</w:t>
            </w:r>
          </w:p>
        </w:tc>
        <w:tc>
          <w:tcPr>
            <w:tcW w:w="1120" w:type="dxa"/>
            <w:vAlign w:val="bottom"/>
          </w:tcPr>
          <w:p>
            <w:pPr>
              <w:jc w:val="center"/>
              <w:spacing w:after="0"/>
              <w:rPr>
                <w:sz w:val="20"/>
                <w:szCs w:val="20"/>
                <w:color w:val="auto"/>
              </w:rPr>
            </w:pPr>
            <w:r>
              <w:rPr>
                <w:rFonts w:ascii="Arial" w:cs="Arial" w:eastAsia="Arial" w:hAnsi="Arial"/>
                <w:sz w:val="14"/>
                <w:szCs w:val="14"/>
                <w:color w:val="auto"/>
              </w:rPr>
              <w:t>3,661,203</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rPr>
              <w:t>3,661,203</w:t>
            </w:r>
          </w:p>
        </w:tc>
        <w:tc>
          <w:tcPr>
            <w:tcW w:w="1180" w:type="dxa"/>
            <w:vAlign w:val="bottom"/>
          </w:tcPr>
          <w:p>
            <w:pPr>
              <w:jc w:val="center"/>
              <w:spacing w:after="0"/>
              <w:rPr>
                <w:sz w:val="20"/>
                <w:szCs w:val="20"/>
                <w:color w:val="auto"/>
              </w:rPr>
            </w:pPr>
            <w:r>
              <w:rPr>
                <w:rFonts w:ascii="Arial" w:cs="Arial" w:eastAsia="Arial" w:hAnsi="Arial"/>
                <w:sz w:val="14"/>
                <w:szCs w:val="14"/>
                <w:color w:val="auto"/>
              </w:rPr>
              <w:t>2,942,889</w:t>
            </w:r>
          </w:p>
        </w:tc>
        <w:tc>
          <w:tcPr>
            <w:tcW w:w="1080" w:type="dxa"/>
            <w:vAlign w:val="bottom"/>
          </w:tcPr>
          <w:p>
            <w:pPr>
              <w:jc w:val="center"/>
              <w:spacing w:after="0"/>
              <w:rPr>
                <w:sz w:val="20"/>
                <w:szCs w:val="20"/>
                <w:color w:val="auto"/>
              </w:rPr>
            </w:pPr>
            <w:r>
              <w:rPr>
                <w:rFonts w:ascii="Arial" w:cs="Arial" w:eastAsia="Arial" w:hAnsi="Arial"/>
                <w:sz w:val="14"/>
                <w:szCs w:val="14"/>
                <w:color w:val="auto"/>
              </w:rPr>
              <w:t>24.4%</w:t>
            </w:r>
          </w:p>
        </w:tc>
      </w:tr>
      <w:tr>
        <w:trPr>
          <w:trHeight w:val="203"/>
        </w:trPr>
        <w:tc>
          <w:tcPr>
            <w:tcW w:w="5400" w:type="dxa"/>
            <w:vAlign w:val="bottom"/>
          </w:tcPr>
          <w:p>
            <w:pPr>
              <w:ind w:left="20"/>
              <w:spacing w:after="0"/>
              <w:rPr>
                <w:sz w:val="20"/>
                <w:szCs w:val="20"/>
                <w:color w:val="auto"/>
              </w:rPr>
            </w:pPr>
            <w:r>
              <w:rPr>
                <w:rFonts w:ascii="Arial" w:cs="Arial" w:eastAsia="Arial" w:hAnsi="Arial"/>
                <w:sz w:val="14"/>
                <w:szCs w:val="14"/>
                <w:color w:val="auto"/>
              </w:rPr>
              <w:t>Cargo</w:t>
            </w:r>
          </w:p>
        </w:tc>
        <w:tc>
          <w:tcPr>
            <w:tcW w:w="1120" w:type="dxa"/>
            <w:vAlign w:val="bottom"/>
          </w:tcPr>
          <w:p>
            <w:pPr>
              <w:jc w:val="center"/>
              <w:spacing w:after="0"/>
              <w:rPr>
                <w:sz w:val="20"/>
                <w:szCs w:val="20"/>
                <w:color w:val="auto"/>
              </w:rPr>
            </w:pPr>
            <w:r>
              <w:rPr>
                <w:rFonts w:ascii="Arial" w:cs="Arial" w:eastAsia="Arial" w:hAnsi="Arial"/>
                <w:sz w:val="14"/>
                <w:szCs w:val="14"/>
                <w:color w:val="auto"/>
              </w:rPr>
              <w:t>419,414</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rPr>
              <w:t>419,414</w:t>
            </w:r>
          </w:p>
        </w:tc>
        <w:tc>
          <w:tcPr>
            <w:tcW w:w="1180" w:type="dxa"/>
            <w:vAlign w:val="bottom"/>
          </w:tcPr>
          <w:p>
            <w:pPr>
              <w:jc w:val="center"/>
              <w:spacing w:after="0"/>
              <w:rPr>
                <w:sz w:val="20"/>
                <w:szCs w:val="20"/>
                <w:color w:val="auto"/>
              </w:rPr>
            </w:pPr>
            <w:r>
              <w:rPr>
                <w:rFonts w:ascii="Arial" w:cs="Arial" w:eastAsia="Arial" w:hAnsi="Arial"/>
                <w:sz w:val="14"/>
                <w:szCs w:val="14"/>
                <w:color w:val="auto"/>
              </w:rPr>
              <w:t>405,589</w:t>
            </w:r>
          </w:p>
        </w:tc>
        <w:tc>
          <w:tcPr>
            <w:tcW w:w="1080" w:type="dxa"/>
            <w:vAlign w:val="bottom"/>
          </w:tcPr>
          <w:p>
            <w:pPr>
              <w:jc w:val="center"/>
              <w:spacing w:after="0"/>
              <w:rPr>
                <w:sz w:val="20"/>
                <w:szCs w:val="20"/>
                <w:color w:val="auto"/>
              </w:rPr>
            </w:pPr>
            <w:r>
              <w:rPr>
                <w:rFonts w:ascii="Arial" w:cs="Arial" w:eastAsia="Arial" w:hAnsi="Arial"/>
                <w:sz w:val="14"/>
                <w:szCs w:val="14"/>
                <w:color w:val="auto"/>
              </w:rPr>
              <w:t>3.4%</w:t>
            </w:r>
          </w:p>
        </w:tc>
      </w:tr>
      <w:tr>
        <w:trPr>
          <w:trHeight w:val="207"/>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Income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70,175</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70,175</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62,123</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13.0%</w:t>
            </w:r>
          </w:p>
        </w:tc>
      </w:tr>
      <w:tr>
        <w:trPr>
          <w:trHeight w:val="198"/>
        </w:trPr>
        <w:tc>
          <w:tcPr>
            <w:tcW w:w="5400" w:type="dxa"/>
            <w:vAlign w:val="bottom"/>
          </w:tcPr>
          <w:p>
            <w:pPr>
              <w:ind w:left="20"/>
              <w:spacing w:after="0"/>
              <w:rPr>
                <w:sz w:val="20"/>
                <w:szCs w:val="20"/>
                <w:color w:val="auto"/>
              </w:rPr>
            </w:pPr>
            <w:r>
              <w:rPr>
                <w:rFonts w:ascii="Arial" w:cs="Arial" w:eastAsia="Arial" w:hAnsi="Arial"/>
                <w:sz w:val="14"/>
                <w:szCs w:val="14"/>
                <w:b w:val="1"/>
                <w:bCs w:val="1"/>
                <w:color w:val="auto"/>
              </w:rPr>
              <w:t>TOTAL OPERATING REVENUE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4,150,792</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4,150,792</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3,410,601</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21.7%</w:t>
            </w:r>
          </w:p>
        </w:tc>
      </w:tr>
      <w:tr>
        <w:trPr>
          <w:trHeight w:val="203"/>
        </w:trPr>
        <w:tc>
          <w:tcPr>
            <w:tcW w:w="540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7"/>
        </w:trPr>
        <w:tc>
          <w:tcPr>
            <w:tcW w:w="5400" w:type="dxa"/>
            <w:vAlign w:val="bottom"/>
          </w:tcPr>
          <w:p>
            <w:pPr>
              <w:ind w:left="20"/>
              <w:spacing w:after="0"/>
              <w:rPr>
                <w:sz w:val="20"/>
                <w:szCs w:val="20"/>
                <w:color w:val="auto"/>
              </w:rPr>
            </w:pPr>
            <w:r>
              <w:rPr>
                <w:rFonts w:ascii="Arial" w:cs="Arial" w:eastAsia="Arial" w:hAnsi="Arial"/>
                <w:sz w:val="14"/>
                <w:szCs w:val="14"/>
                <w:color w:val="auto"/>
              </w:rPr>
              <w:t>Wages and Benefits</w:t>
            </w:r>
          </w:p>
        </w:tc>
        <w:tc>
          <w:tcPr>
            <w:tcW w:w="1120" w:type="dxa"/>
            <w:vAlign w:val="bottom"/>
          </w:tcPr>
          <w:p>
            <w:pPr>
              <w:jc w:val="center"/>
              <w:spacing w:after="0"/>
              <w:rPr>
                <w:sz w:val="20"/>
                <w:szCs w:val="20"/>
                <w:color w:val="auto"/>
              </w:rPr>
            </w:pPr>
            <w:r>
              <w:rPr>
                <w:rFonts w:ascii="Arial" w:cs="Arial" w:eastAsia="Arial" w:hAnsi="Arial"/>
                <w:sz w:val="14"/>
                <w:szCs w:val="14"/>
                <w:color w:val="auto"/>
              </w:rPr>
              <w:t>(549,842)</w:t>
            </w:r>
          </w:p>
        </w:tc>
        <w:tc>
          <w:tcPr>
            <w:tcW w:w="1120" w:type="dxa"/>
            <w:vAlign w:val="bottom"/>
          </w:tcPr>
          <w:p>
            <w:pPr>
              <w:jc w:val="center"/>
              <w:ind w:left="8"/>
              <w:spacing w:after="0"/>
              <w:rPr>
                <w:sz w:val="20"/>
                <w:szCs w:val="20"/>
                <w:color w:val="auto"/>
              </w:rPr>
            </w:pPr>
            <w:r>
              <w:rPr>
                <w:rFonts w:ascii="Arial" w:cs="Arial" w:eastAsia="Arial" w:hAnsi="Arial"/>
                <w:sz w:val="14"/>
                <w:szCs w:val="14"/>
                <w:color w:val="auto"/>
              </w:rPr>
              <w:t>4,188</w:t>
            </w:r>
          </w:p>
        </w:tc>
        <w:tc>
          <w:tcPr>
            <w:tcW w:w="1180" w:type="dxa"/>
            <w:vAlign w:val="bottom"/>
          </w:tcPr>
          <w:p>
            <w:pPr>
              <w:jc w:val="center"/>
              <w:spacing w:after="0"/>
              <w:rPr>
                <w:sz w:val="20"/>
                <w:szCs w:val="20"/>
                <w:color w:val="auto"/>
              </w:rPr>
            </w:pPr>
            <w:r>
              <w:rPr>
                <w:rFonts w:ascii="Arial" w:cs="Arial" w:eastAsia="Arial" w:hAnsi="Arial"/>
                <w:sz w:val="14"/>
                <w:szCs w:val="14"/>
                <w:color w:val="auto"/>
              </w:rPr>
              <w:t>(545,654)</w:t>
            </w:r>
          </w:p>
        </w:tc>
        <w:tc>
          <w:tcPr>
            <w:tcW w:w="1180" w:type="dxa"/>
            <w:vAlign w:val="bottom"/>
          </w:tcPr>
          <w:p>
            <w:pPr>
              <w:jc w:val="center"/>
              <w:spacing w:after="0"/>
              <w:rPr>
                <w:sz w:val="20"/>
                <w:szCs w:val="20"/>
                <w:color w:val="auto"/>
              </w:rPr>
            </w:pPr>
            <w:r>
              <w:rPr>
                <w:rFonts w:ascii="Arial" w:cs="Arial" w:eastAsia="Arial" w:hAnsi="Arial"/>
                <w:sz w:val="14"/>
                <w:szCs w:val="14"/>
                <w:color w:val="auto"/>
              </w:rPr>
              <w:t>(430,139)</w:t>
            </w:r>
          </w:p>
        </w:tc>
        <w:tc>
          <w:tcPr>
            <w:tcW w:w="1080" w:type="dxa"/>
            <w:vAlign w:val="bottom"/>
          </w:tcPr>
          <w:p>
            <w:pPr>
              <w:jc w:val="center"/>
              <w:spacing w:after="0"/>
              <w:rPr>
                <w:sz w:val="20"/>
                <w:szCs w:val="20"/>
                <w:color w:val="auto"/>
              </w:rPr>
            </w:pPr>
            <w:r>
              <w:rPr>
                <w:rFonts w:ascii="Arial" w:cs="Arial" w:eastAsia="Arial" w:hAnsi="Arial"/>
                <w:sz w:val="14"/>
                <w:szCs w:val="14"/>
                <w:color w:val="auto"/>
              </w:rPr>
              <w:t>26.9%</w:t>
            </w:r>
          </w:p>
        </w:tc>
      </w:tr>
      <w:tr>
        <w:trPr>
          <w:trHeight w:val="203"/>
        </w:trPr>
        <w:tc>
          <w:tcPr>
            <w:tcW w:w="5400" w:type="dxa"/>
            <w:vAlign w:val="bottom"/>
          </w:tcPr>
          <w:p>
            <w:pPr>
              <w:ind w:left="20"/>
              <w:spacing w:after="0"/>
              <w:rPr>
                <w:sz w:val="20"/>
                <w:szCs w:val="20"/>
                <w:color w:val="auto"/>
              </w:rPr>
            </w:pPr>
            <w:r>
              <w:rPr>
                <w:rFonts w:ascii="Arial" w:cs="Arial" w:eastAsia="Arial" w:hAnsi="Arial"/>
                <w:sz w:val="14"/>
                <w:szCs w:val="14"/>
                <w:color w:val="auto"/>
              </w:rPr>
              <w:t>Aircraft Fuel</w:t>
            </w:r>
          </w:p>
        </w:tc>
        <w:tc>
          <w:tcPr>
            <w:tcW w:w="1120" w:type="dxa"/>
            <w:vAlign w:val="bottom"/>
          </w:tcPr>
          <w:p>
            <w:pPr>
              <w:jc w:val="center"/>
              <w:spacing w:after="0"/>
              <w:rPr>
                <w:sz w:val="20"/>
                <w:szCs w:val="20"/>
                <w:color w:val="auto"/>
              </w:rPr>
            </w:pPr>
            <w:r>
              <w:rPr>
                <w:rFonts w:ascii="Arial" w:cs="Arial" w:eastAsia="Arial" w:hAnsi="Arial"/>
                <w:sz w:val="14"/>
                <w:szCs w:val="14"/>
                <w:color w:val="auto"/>
              </w:rPr>
              <w:t>(1,036,940)</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rPr>
              <w:t>(1,036,940)</w:t>
            </w:r>
          </w:p>
        </w:tc>
        <w:tc>
          <w:tcPr>
            <w:tcW w:w="1180" w:type="dxa"/>
            <w:vAlign w:val="bottom"/>
          </w:tcPr>
          <w:p>
            <w:pPr>
              <w:jc w:val="center"/>
              <w:spacing w:after="0"/>
              <w:rPr>
                <w:sz w:val="20"/>
                <w:szCs w:val="20"/>
                <w:color w:val="auto"/>
              </w:rPr>
            </w:pPr>
            <w:r>
              <w:rPr>
                <w:rFonts w:ascii="Arial" w:cs="Arial" w:eastAsia="Arial" w:hAnsi="Arial"/>
                <w:sz w:val="14"/>
                <w:szCs w:val="14"/>
                <w:color w:val="auto"/>
              </w:rPr>
              <w:t>(973,963)</w:t>
            </w:r>
          </w:p>
        </w:tc>
        <w:tc>
          <w:tcPr>
            <w:tcW w:w="1080" w:type="dxa"/>
            <w:vAlign w:val="bottom"/>
          </w:tcPr>
          <w:p>
            <w:pPr>
              <w:jc w:val="center"/>
              <w:spacing w:after="0"/>
              <w:rPr>
                <w:sz w:val="20"/>
                <w:szCs w:val="20"/>
                <w:color w:val="auto"/>
              </w:rPr>
            </w:pPr>
            <w:r>
              <w:rPr>
                <w:rFonts w:ascii="Arial" w:cs="Arial" w:eastAsia="Arial" w:hAnsi="Arial"/>
                <w:sz w:val="14"/>
                <w:szCs w:val="14"/>
                <w:color w:val="auto"/>
              </w:rPr>
              <w:t>6.5%</w:t>
            </w:r>
          </w:p>
        </w:tc>
      </w:tr>
      <w:tr>
        <w:trPr>
          <w:trHeight w:val="203"/>
        </w:trPr>
        <w:tc>
          <w:tcPr>
            <w:tcW w:w="5400" w:type="dxa"/>
            <w:vAlign w:val="bottom"/>
          </w:tcPr>
          <w:p>
            <w:pPr>
              <w:ind w:left="20"/>
              <w:spacing w:after="0"/>
              <w:rPr>
                <w:sz w:val="20"/>
                <w:szCs w:val="20"/>
                <w:color w:val="auto"/>
              </w:rPr>
            </w:pPr>
            <w:r>
              <w:rPr>
                <w:rFonts w:ascii="Arial" w:cs="Arial" w:eastAsia="Arial" w:hAnsi="Arial"/>
                <w:sz w:val="14"/>
                <w:szCs w:val="14"/>
                <w:color w:val="auto"/>
              </w:rPr>
              <w:t>Commissions to Agents</w:t>
            </w:r>
          </w:p>
        </w:tc>
        <w:tc>
          <w:tcPr>
            <w:tcW w:w="1120" w:type="dxa"/>
            <w:vAlign w:val="bottom"/>
          </w:tcPr>
          <w:p>
            <w:pPr>
              <w:jc w:val="center"/>
              <w:spacing w:after="0"/>
              <w:rPr>
                <w:sz w:val="20"/>
                <w:szCs w:val="20"/>
                <w:color w:val="auto"/>
              </w:rPr>
            </w:pPr>
            <w:r>
              <w:rPr>
                <w:rFonts w:ascii="Arial" w:cs="Arial" w:eastAsia="Arial" w:hAnsi="Arial"/>
                <w:sz w:val="14"/>
                <w:szCs w:val="14"/>
                <w:color w:val="auto"/>
              </w:rPr>
              <w:t>(82,166)</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rPr>
              <w:t>(82,166)</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(53,651)</w:t>
            </w:r>
          </w:p>
        </w:tc>
        <w:tc>
          <w:tcPr>
            <w:tcW w:w="1080" w:type="dxa"/>
            <w:vAlign w:val="bottom"/>
          </w:tcPr>
          <w:p>
            <w:pPr>
              <w:jc w:val="center"/>
              <w:spacing w:after="0"/>
              <w:rPr>
                <w:sz w:val="20"/>
                <w:szCs w:val="20"/>
                <w:color w:val="auto"/>
              </w:rPr>
            </w:pPr>
            <w:r>
              <w:rPr>
                <w:rFonts w:ascii="Arial" w:cs="Arial" w:eastAsia="Arial" w:hAnsi="Arial"/>
                <w:sz w:val="14"/>
                <w:szCs w:val="14"/>
                <w:color w:val="auto"/>
              </w:rPr>
              <w:t>53.1%</w:t>
            </w:r>
          </w:p>
        </w:tc>
      </w:tr>
      <w:tr>
        <w:trPr>
          <w:trHeight w:val="203"/>
        </w:trPr>
        <w:tc>
          <w:tcPr>
            <w:tcW w:w="54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120" w:type="dxa"/>
            <w:vAlign w:val="bottom"/>
          </w:tcPr>
          <w:p>
            <w:pPr>
              <w:jc w:val="center"/>
              <w:spacing w:after="0"/>
              <w:rPr>
                <w:sz w:val="20"/>
                <w:szCs w:val="20"/>
                <w:color w:val="auto"/>
              </w:rPr>
            </w:pPr>
            <w:r>
              <w:rPr>
                <w:rFonts w:ascii="Arial" w:cs="Arial" w:eastAsia="Arial" w:hAnsi="Arial"/>
                <w:sz w:val="14"/>
                <w:szCs w:val="14"/>
                <w:color w:val="auto"/>
              </w:rPr>
              <w:t>(492,256)</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rPr>
              <w:t>(492,256)</w:t>
            </w:r>
          </w:p>
        </w:tc>
        <w:tc>
          <w:tcPr>
            <w:tcW w:w="1180" w:type="dxa"/>
            <w:vAlign w:val="bottom"/>
          </w:tcPr>
          <w:p>
            <w:pPr>
              <w:jc w:val="center"/>
              <w:spacing w:after="0"/>
              <w:rPr>
                <w:sz w:val="20"/>
                <w:szCs w:val="20"/>
                <w:color w:val="auto"/>
              </w:rPr>
            </w:pPr>
            <w:r>
              <w:rPr>
                <w:rFonts w:ascii="Arial" w:cs="Arial" w:eastAsia="Arial" w:hAnsi="Arial"/>
                <w:sz w:val="14"/>
                <w:szCs w:val="14"/>
                <w:color w:val="auto"/>
              </w:rPr>
              <w:t>(388,902)</w:t>
            </w:r>
          </w:p>
        </w:tc>
        <w:tc>
          <w:tcPr>
            <w:tcW w:w="1080" w:type="dxa"/>
            <w:vAlign w:val="bottom"/>
          </w:tcPr>
          <w:p>
            <w:pPr>
              <w:jc w:val="center"/>
              <w:spacing w:after="0"/>
              <w:rPr>
                <w:sz w:val="20"/>
                <w:szCs w:val="20"/>
                <w:color w:val="auto"/>
              </w:rPr>
            </w:pPr>
            <w:r>
              <w:rPr>
                <w:rFonts w:ascii="Arial" w:cs="Arial" w:eastAsia="Arial" w:hAnsi="Arial"/>
                <w:sz w:val="14"/>
                <w:szCs w:val="14"/>
                <w:color w:val="auto"/>
              </w:rPr>
              <w:t>26.6%</w:t>
            </w:r>
          </w:p>
        </w:tc>
      </w:tr>
      <w:tr>
        <w:trPr>
          <w:trHeight w:val="203"/>
        </w:trPr>
        <w:tc>
          <w:tcPr>
            <w:tcW w:w="5400" w:type="dxa"/>
            <w:vAlign w:val="bottom"/>
          </w:tcPr>
          <w:p>
            <w:pPr>
              <w:ind w:left="20"/>
              <w:spacing w:after="0"/>
              <w:rPr>
                <w:sz w:val="20"/>
                <w:szCs w:val="20"/>
                <w:color w:val="auto"/>
              </w:rPr>
            </w:pPr>
            <w:r>
              <w:rPr>
                <w:rFonts w:ascii="Arial" w:cs="Arial" w:eastAsia="Arial" w:hAnsi="Arial"/>
                <w:sz w:val="14"/>
                <w:szCs w:val="14"/>
                <w:color w:val="auto"/>
              </w:rPr>
              <w:t>Other Rental and Landing Fees</w:t>
            </w:r>
          </w:p>
        </w:tc>
        <w:tc>
          <w:tcPr>
            <w:tcW w:w="1120" w:type="dxa"/>
            <w:vAlign w:val="bottom"/>
          </w:tcPr>
          <w:p>
            <w:pPr>
              <w:jc w:val="center"/>
              <w:spacing w:after="0"/>
              <w:rPr>
                <w:sz w:val="20"/>
                <w:szCs w:val="20"/>
                <w:color w:val="auto"/>
              </w:rPr>
            </w:pPr>
            <w:r>
              <w:rPr>
                <w:rFonts w:ascii="Arial" w:cs="Arial" w:eastAsia="Arial" w:hAnsi="Arial"/>
                <w:sz w:val="14"/>
                <w:szCs w:val="14"/>
                <w:color w:val="auto"/>
              </w:rPr>
              <w:t>(453,852)</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rPr>
              <w:t>(453,852)</w:t>
            </w:r>
          </w:p>
        </w:tc>
        <w:tc>
          <w:tcPr>
            <w:tcW w:w="1180" w:type="dxa"/>
            <w:vAlign w:val="bottom"/>
          </w:tcPr>
          <w:p>
            <w:pPr>
              <w:jc w:val="center"/>
              <w:spacing w:after="0"/>
              <w:rPr>
                <w:sz w:val="20"/>
                <w:szCs w:val="20"/>
                <w:color w:val="auto"/>
              </w:rPr>
            </w:pPr>
            <w:r>
              <w:rPr>
                <w:rFonts w:ascii="Arial" w:cs="Arial" w:eastAsia="Arial" w:hAnsi="Arial"/>
                <w:sz w:val="14"/>
                <w:szCs w:val="14"/>
                <w:color w:val="auto"/>
              </w:rPr>
              <w:t>(383,096)</w:t>
            </w:r>
          </w:p>
        </w:tc>
        <w:tc>
          <w:tcPr>
            <w:tcW w:w="1080" w:type="dxa"/>
            <w:vAlign w:val="bottom"/>
          </w:tcPr>
          <w:p>
            <w:pPr>
              <w:jc w:val="center"/>
              <w:spacing w:after="0"/>
              <w:rPr>
                <w:sz w:val="20"/>
                <w:szCs w:val="20"/>
                <w:color w:val="auto"/>
              </w:rPr>
            </w:pPr>
            <w:r>
              <w:rPr>
                <w:rFonts w:ascii="Arial" w:cs="Arial" w:eastAsia="Arial" w:hAnsi="Arial"/>
                <w:sz w:val="14"/>
                <w:szCs w:val="14"/>
                <w:color w:val="auto"/>
              </w:rPr>
              <w:t>18.5%</w:t>
            </w:r>
          </w:p>
        </w:tc>
      </w:tr>
      <w:tr>
        <w:trPr>
          <w:trHeight w:val="203"/>
        </w:trPr>
        <w:tc>
          <w:tcPr>
            <w:tcW w:w="5400" w:type="dxa"/>
            <w:vAlign w:val="bottom"/>
          </w:tcPr>
          <w:p>
            <w:pPr>
              <w:ind w:left="20"/>
              <w:spacing w:after="0"/>
              <w:rPr>
                <w:sz w:val="20"/>
                <w:szCs w:val="20"/>
                <w:color w:val="auto"/>
              </w:rPr>
            </w:pPr>
            <w:r>
              <w:rPr>
                <w:rFonts w:ascii="Arial" w:cs="Arial" w:eastAsia="Arial" w:hAnsi="Arial"/>
                <w:sz w:val="14"/>
                <w:szCs w:val="14"/>
                <w:color w:val="auto"/>
              </w:rPr>
              <w:t>Passenger Services</w:t>
            </w:r>
          </w:p>
        </w:tc>
        <w:tc>
          <w:tcPr>
            <w:tcW w:w="1120" w:type="dxa"/>
            <w:vAlign w:val="bottom"/>
          </w:tcPr>
          <w:p>
            <w:pPr>
              <w:jc w:val="center"/>
              <w:spacing w:after="0"/>
              <w:rPr>
                <w:sz w:val="20"/>
                <w:szCs w:val="20"/>
                <w:color w:val="auto"/>
              </w:rPr>
            </w:pPr>
            <w:r>
              <w:rPr>
                <w:rFonts w:ascii="Arial" w:cs="Arial" w:eastAsia="Arial" w:hAnsi="Arial"/>
                <w:sz w:val="14"/>
                <w:szCs w:val="14"/>
                <w:color w:val="auto"/>
              </w:rPr>
              <w:t>(111,999)</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rPr>
              <w:t>(111,999)</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(84,351)</w:t>
            </w:r>
          </w:p>
        </w:tc>
        <w:tc>
          <w:tcPr>
            <w:tcW w:w="1080" w:type="dxa"/>
            <w:vAlign w:val="bottom"/>
          </w:tcPr>
          <w:p>
            <w:pPr>
              <w:jc w:val="center"/>
              <w:spacing w:after="0"/>
              <w:rPr>
                <w:sz w:val="20"/>
                <w:szCs w:val="20"/>
                <w:color w:val="auto"/>
              </w:rPr>
            </w:pPr>
            <w:r>
              <w:rPr>
                <w:rFonts w:ascii="Arial" w:cs="Arial" w:eastAsia="Arial" w:hAnsi="Arial"/>
                <w:sz w:val="14"/>
                <w:szCs w:val="14"/>
                <w:color w:val="auto"/>
              </w:rPr>
              <w:t>32.8%</w:t>
            </w:r>
          </w:p>
        </w:tc>
      </w:tr>
      <w:tr>
        <w:trPr>
          <w:trHeight w:val="203"/>
        </w:trPr>
        <w:tc>
          <w:tcPr>
            <w:tcW w:w="5400" w:type="dxa"/>
            <w:vAlign w:val="bottom"/>
          </w:tcPr>
          <w:p>
            <w:pPr>
              <w:ind w:left="20"/>
              <w:spacing w:after="0"/>
              <w:rPr>
                <w:sz w:val="20"/>
                <w:szCs w:val="20"/>
                <w:color w:val="auto"/>
              </w:rPr>
            </w:pPr>
            <w:r>
              <w:rPr>
                <w:rFonts w:ascii="Arial" w:cs="Arial" w:eastAsia="Arial" w:hAnsi="Arial"/>
                <w:sz w:val="14"/>
                <w:szCs w:val="14"/>
                <w:color w:val="auto"/>
              </w:rPr>
              <w:t>Aircraft Maintenance</w:t>
            </w:r>
          </w:p>
        </w:tc>
        <w:tc>
          <w:tcPr>
            <w:tcW w:w="1120" w:type="dxa"/>
            <w:vAlign w:val="bottom"/>
          </w:tcPr>
          <w:p>
            <w:pPr>
              <w:jc w:val="center"/>
              <w:spacing w:after="0"/>
              <w:rPr>
                <w:sz w:val="20"/>
                <w:szCs w:val="20"/>
                <w:color w:val="auto"/>
              </w:rPr>
            </w:pPr>
            <w:r>
              <w:rPr>
                <w:rFonts w:ascii="Arial" w:cs="Arial" w:eastAsia="Arial" w:hAnsi="Arial"/>
                <w:sz w:val="14"/>
                <w:szCs w:val="14"/>
                <w:color w:val="auto"/>
              </w:rPr>
              <w:t>(227,255)</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rPr>
              <w:t>(227,255)</w:t>
            </w:r>
          </w:p>
        </w:tc>
        <w:tc>
          <w:tcPr>
            <w:tcW w:w="1180" w:type="dxa"/>
            <w:vAlign w:val="bottom"/>
          </w:tcPr>
          <w:p>
            <w:pPr>
              <w:jc w:val="center"/>
              <w:spacing w:after="0"/>
              <w:rPr>
                <w:sz w:val="20"/>
                <w:szCs w:val="20"/>
                <w:color w:val="auto"/>
              </w:rPr>
            </w:pPr>
            <w:r>
              <w:rPr>
                <w:rFonts w:ascii="Arial" w:cs="Arial" w:eastAsia="Arial" w:hAnsi="Arial"/>
                <w:sz w:val="14"/>
                <w:szCs w:val="14"/>
                <w:color w:val="auto"/>
              </w:rPr>
              <w:t>(186,063)</w:t>
            </w:r>
          </w:p>
        </w:tc>
        <w:tc>
          <w:tcPr>
            <w:tcW w:w="1080" w:type="dxa"/>
            <w:vAlign w:val="bottom"/>
          </w:tcPr>
          <w:p>
            <w:pPr>
              <w:jc w:val="center"/>
              <w:spacing w:after="0"/>
              <w:rPr>
                <w:sz w:val="20"/>
                <w:szCs w:val="20"/>
                <w:color w:val="auto"/>
              </w:rPr>
            </w:pPr>
            <w:r>
              <w:rPr>
                <w:rFonts w:ascii="Arial" w:cs="Arial" w:eastAsia="Arial" w:hAnsi="Arial"/>
                <w:sz w:val="14"/>
                <w:szCs w:val="14"/>
                <w:color w:val="auto"/>
              </w:rPr>
              <w:t>22.1%</w:t>
            </w:r>
          </w:p>
        </w:tc>
      </w:tr>
      <w:tr>
        <w:trPr>
          <w:trHeight w:val="203"/>
        </w:trPr>
        <w:tc>
          <w:tcPr>
            <w:tcW w:w="5400" w:type="dxa"/>
            <w:vAlign w:val="bottom"/>
          </w:tcPr>
          <w:p>
            <w:pPr>
              <w:ind w:left="20"/>
              <w:spacing w:after="0"/>
              <w:rPr>
                <w:sz w:val="20"/>
                <w:szCs w:val="20"/>
                <w:color w:val="auto"/>
              </w:rPr>
            </w:pPr>
            <w:r>
              <w:rPr>
                <w:rFonts w:ascii="Arial" w:cs="Arial" w:eastAsia="Arial" w:hAnsi="Arial"/>
                <w:sz w:val="14"/>
                <w:szCs w:val="14"/>
                <w:color w:val="auto"/>
              </w:rPr>
              <w:t>Other Operating Expenses</w:t>
            </w:r>
          </w:p>
        </w:tc>
        <w:tc>
          <w:tcPr>
            <w:tcW w:w="1120" w:type="dxa"/>
            <w:vAlign w:val="bottom"/>
          </w:tcPr>
          <w:p>
            <w:pPr>
              <w:jc w:val="center"/>
              <w:spacing w:after="0"/>
              <w:rPr>
                <w:sz w:val="20"/>
                <w:szCs w:val="20"/>
                <w:color w:val="auto"/>
              </w:rPr>
            </w:pPr>
            <w:r>
              <w:rPr>
                <w:rFonts w:ascii="Arial" w:cs="Arial" w:eastAsia="Arial" w:hAnsi="Arial"/>
                <w:sz w:val="14"/>
                <w:szCs w:val="14"/>
                <w:color w:val="auto"/>
              </w:rPr>
              <w:t>(378,147)</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rPr>
              <w:t>(378,147)</w:t>
            </w:r>
          </w:p>
        </w:tc>
        <w:tc>
          <w:tcPr>
            <w:tcW w:w="1180" w:type="dxa"/>
            <w:vAlign w:val="bottom"/>
          </w:tcPr>
          <w:p>
            <w:pPr>
              <w:jc w:val="center"/>
              <w:spacing w:after="0"/>
              <w:rPr>
                <w:sz w:val="20"/>
                <w:szCs w:val="20"/>
                <w:color w:val="auto"/>
              </w:rPr>
            </w:pPr>
            <w:r>
              <w:rPr>
                <w:rFonts w:ascii="Arial" w:cs="Arial" w:eastAsia="Arial" w:hAnsi="Arial"/>
                <w:sz w:val="14"/>
                <w:szCs w:val="14"/>
                <w:color w:val="auto"/>
              </w:rPr>
              <w:t>(337,205)</w:t>
            </w:r>
          </w:p>
        </w:tc>
        <w:tc>
          <w:tcPr>
            <w:tcW w:w="1080" w:type="dxa"/>
            <w:vAlign w:val="bottom"/>
          </w:tcPr>
          <w:p>
            <w:pPr>
              <w:jc w:val="center"/>
              <w:spacing w:after="0"/>
              <w:rPr>
                <w:sz w:val="20"/>
                <w:szCs w:val="20"/>
                <w:color w:val="auto"/>
              </w:rPr>
            </w:pPr>
            <w:r>
              <w:rPr>
                <w:rFonts w:ascii="Arial" w:cs="Arial" w:eastAsia="Arial" w:hAnsi="Arial"/>
                <w:sz w:val="14"/>
                <w:szCs w:val="14"/>
                <w:color w:val="auto"/>
              </w:rPr>
              <w:t>12.1%</w:t>
            </w:r>
          </w:p>
        </w:tc>
      </w:tr>
      <w:tr>
        <w:trPr>
          <w:trHeight w:val="220"/>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gains/(losses)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(7,012)</w:t>
            </w:r>
          </w:p>
        </w:tc>
        <w:tc>
          <w:tcPr>
            <w:tcW w:w="11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7,012</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n.m</w:t>
            </w:r>
          </w:p>
        </w:tc>
      </w:tr>
      <w:tr>
        <w:trPr>
          <w:trHeight w:val="198"/>
        </w:trPr>
        <w:tc>
          <w:tcPr>
            <w:tcW w:w="5400" w:type="dxa"/>
            <w:vAlign w:val="bottom"/>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(3,339,469)</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7"/>
              </w:rPr>
              <w:t>11,200</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(3,328,269)</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(2,837,370)</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17.3%</w:t>
            </w:r>
          </w:p>
        </w:tc>
      </w:tr>
      <w:tr>
        <w:trPr>
          <w:trHeight w:val="204"/>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OPERATING INCOME/(LOSS)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811,323</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11,200</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822,523</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573,231</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43.5%</w:t>
            </w:r>
          </w:p>
        </w:tc>
      </w:tr>
      <w:tr>
        <w:trPr>
          <w:trHeight w:val="21"/>
        </w:trPr>
        <w:tc>
          <w:tcPr>
            <w:tcW w:w="5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8"/>
        </w:trPr>
        <w:tc>
          <w:tcPr>
            <w:tcW w:w="5400" w:type="dxa"/>
            <w:vAlign w:val="bottom"/>
          </w:tcPr>
          <w:p>
            <w:pPr>
              <w:ind w:left="20"/>
              <w:spacing w:after="0"/>
              <w:rPr>
                <w:sz w:val="20"/>
                <w:szCs w:val="20"/>
                <w:color w:val="auto"/>
              </w:rPr>
            </w:pPr>
            <w:r>
              <w:rPr>
                <w:rFonts w:ascii="Arial" w:cs="Arial" w:eastAsia="Arial" w:hAnsi="Arial"/>
                <w:sz w:val="14"/>
                <w:szCs w:val="14"/>
                <w:i w:val="1"/>
                <w:iCs w:val="1"/>
                <w:color w:val="auto"/>
              </w:rPr>
              <w:t>Operating Margin</w:t>
            </w:r>
          </w:p>
        </w:tc>
        <w:tc>
          <w:tcPr>
            <w:tcW w:w="1120" w:type="dxa"/>
            <w:vAlign w:val="bottom"/>
          </w:tcPr>
          <w:p>
            <w:pPr>
              <w:jc w:val="center"/>
              <w:spacing w:after="0"/>
              <w:rPr>
                <w:sz w:val="20"/>
                <w:szCs w:val="20"/>
                <w:color w:val="auto"/>
              </w:rPr>
            </w:pPr>
            <w:r>
              <w:rPr>
                <w:rFonts w:ascii="Arial" w:cs="Arial" w:eastAsia="Arial" w:hAnsi="Arial"/>
                <w:sz w:val="14"/>
                <w:szCs w:val="14"/>
                <w:color w:val="auto"/>
              </w:rPr>
              <w:t>19.5%</w:t>
            </w:r>
          </w:p>
        </w:tc>
        <w:tc>
          <w:tcPr>
            <w:tcW w:w="1120" w:type="dxa"/>
            <w:vAlign w:val="bottom"/>
          </w:tcPr>
          <w:p>
            <w:pPr>
              <w:jc w:val="center"/>
              <w:ind w:left="8"/>
              <w:spacing w:after="0"/>
              <w:rPr>
                <w:sz w:val="20"/>
                <w:szCs w:val="20"/>
                <w:color w:val="auto"/>
              </w:rPr>
            </w:pPr>
            <w:r>
              <w:rPr>
                <w:rFonts w:ascii="Arial" w:cs="Arial" w:eastAsia="Arial" w:hAnsi="Arial"/>
                <w:sz w:val="14"/>
                <w:szCs w:val="14"/>
                <w:color w:val="auto"/>
              </w:rPr>
              <w:t>0.3pp</w:t>
            </w:r>
          </w:p>
        </w:tc>
        <w:tc>
          <w:tcPr>
            <w:tcW w:w="1180" w:type="dxa"/>
            <w:vAlign w:val="bottom"/>
          </w:tcPr>
          <w:p>
            <w:pPr>
              <w:jc w:val="center"/>
              <w:spacing w:after="0"/>
              <w:rPr>
                <w:sz w:val="20"/>
                <w:szCs w:val="20"/>
                <w:color w:val="auto"/>
              </w:rPr>
            </w:pPr>
            <w:r>
              <w:rPr>
                <w:rFonts w:ascii="Arial" w:cs="Arial" w:eastAsia="Arial" w:hAnsi="Arial"/>
                <w:sz w:val="14"/>
                <w:szCs w:val="14"/>
                <w:color w:val="auto"/>
              </w:rPr>
              <w:t>19.8%</w:t>
            </w:r>
          </w:p>
        </w:tc>
        <w:tc>
          <w:tcPr>
            <w:tcW w:w="1180" w:type="dxa"/>
            <w:vAlign w:val="bottom"/>
          </w:tcPr>
          <w:p>
            <w:pPr>
              <w:jc w:val="center"/>
              <w:spacing w:after="0"/>
              <w:rPr>
                <w:sz w:val="20"/>
                <w:szCs w:val="20"/>
                <w:color w:val="auto"/>
              </w:rPr>
            </w:pPr>
            <w:r>
              <w:rPr>
                <w:rFonts w:ascii="Arial" w:cs="Arial" w:eastAsia="Arial" w:hAnsi="Arial"/>
                <w:sz w:val="14"/>
                <w:szCs w:val="14"/>
                <w:color w:val="auto"/>
              </w:rPr>
              <w:t>16.8%</w:t>
            </w:r>
          </w:p>
        </w:tc>
        <w:tc>
          <w:tcPr>
            <w:tcW w:w="1080" w:type="dxa"/>
            <w:vAlign w:val="bottom"/>
          </w:tcPr>
          <w:p>
            <w:pPr>
              <w:jc w:val="center"/>
              <w:spacing w:after="0"/>
              <w:rPr>
                <w:sz w:val="20"/>
                <w:szCs w:val="20"/>
                <w:color w:val="auto"/>
              </w:rPr>
            </w:pPr>
            <w:r>
              <w:rPr>
                <w:rFonts w:ascii="Arial" w:cs="Arial" w:eastAsia="Arial" w:hAnsi="Arial"/>
                <w:sz w:val="14"/>
                <w:szCs w:val="14"/>
                <w:color w:val="auto"/>
              </w:rPr>
              <w:t>3.0pp</w:t>
            </w:r>
          </w:p>
        </w:tc>
      </w:tr>
      <w:tr>
        <w:trPr>
          <w:trHeight w:val="203"/>
        </w:trPr>
        <w:tc>
          <w:tcPr>
            <w:tcW w:w="540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120" w:type="dxa"/>
            <w:vAlign w:val="bottom"/>
          </w:tcPr>
          <w:p>
            <w:pPr>
              <w:jc w:val="center"/>
              <w:spacing w:after="0"/>
              <w:rPr>
                <w:sz w:val="20"/>
                <w:szCs w:val="20"/>
                <w:color w:val="auto"/>
              </w:rPr>
            </w:pPr>
            <w:r>
              <w:rPr>
                <w:rFonts w:ascii="Arial" w:cs="Arial" w:eastAsia="Arial" w:hAnsi="Arial"/>
                <w:sz w:val="14"/>
                <w:szCs w:val="14"/>
                <w:color w:val="auto"/>
              </w:rPr>
              <w:t>36,991</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rPr>
              <w:t>36,991</w:t>
            </w:r>
          </w:p>
        </w:tc>
        <w:tc>
          <w:tcPr>
            <w:tcW w:w="1180" w:type="dxa"/>
            <w:vAlign w:val="bottom"/>
          </w:tcPr>
          <w:p>
            <w:pPr>
              <w:jc w:val="center"/>
              <w:spacing w:after="0"/>
              <w:rPr>
                <w:sz w:val="20"/>
                <w:szCs w:val="20"/>
                <w:color w:val="auto"/>
              </w:rPr>
            </w:pPr>
            <w:r>
              <w:rPr>
                <w:rFonts w:ascii="Arial" w:cs="Arial" w:eastAsia="Arial" w:hAnsi="Arial"/>
                <w:sz w:val="14"/>
                <w:szCs w:val="14"/>
                <w:color w:val="auto"/>
              </w:rPr>
              <w:t>33,057</w:t>
            </w:r>
          </w:p>
        </w:tc>
        <w:tc>
          <w:tcPr>
            <w:tcW w:w="1080" w:type="dxa"/>
            <w:vAlign w:val="bottom"/>
          </w:tcPr>
          <w:p>
            <w:pPr>
              <w:jc w:val="center"/>
              <w:spacing w:after="0"/>
              <w:rPr>
                <w:sz w:val="20"/>
                <w:szCs w:val="20"/>
                <w:color w:val="auto"/>
              </w:rPr>
            </w:pPr>
            <w:r>
              <w:rPr>
                <w:rFonts w:ascii="Arial" w:cs="Arial" w:eastAsia="Arial" w:hAnsi="Arial"/>
                <w:sz w:val="14"/>
                <w:szCs w:val="14"/>
                <w:color w:val="auto"/>
              </w:rPr>
              <w:t>11.9%</w:t>
            </w:r>
          </w:p>
        </w:tc>
      </w:tr>
      <w:tr>
        <w:trPr>
          <w:trHeight w:val="203"/>
        </w:trPr>
        <w:tc>
          <w:tcPr>
            <w:tcW w:w="54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120" w:type="dxa"/>
            <w:vAlign w:val="bottom"/>
          </w:tcPr>
          <w:p>
            <w:pPr>
              <w:jc w:val="center"/>
              <w:spacing w:after="0"/>
              <w:rPr>
                <w:sz w:val="20"/>
                <w:szCs w:val="20"/>
                <w:color w:val="auto"/>
              </w:rPr>
            </w:pPr>
            <w:r>
              <w:rPr>
                <w:rFonts w:ascii="Arial" w:cs="Arial" w:eastAsia="Arial" w:hAnsi="Arial"/>
                <w:sz w:val="14"/>
                <w:szCs w:val="14"/>
                <w:color w:val="auto"/>
              </w:rPr>
              <w:t>(164,006)</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rPr>
              <w:t>(164,006)</w:t>
            </w:r>
          </w:p>
        </w:tc>
        <w:tc>
          <w:tcPr>
            <w:tcW w:w="1180" w:type="dxa"/>
            <w:vAlign w:val="bottom"/>
          </w:tcPr>
          <w:p>
            <w:pPr>
              <w:jc w:val="center"/>
              <w:spacing w:after="0"/>
              <w:rPr>
                <w:sz w:val="20"/>
                <w:szCs w:val="20"/>
                <w:color w:val="auto"/>
              </w:rPr>
            </w:pPr>
            <w:r>
              <w:rPr>
                <w:rFonts w:ascii="Arial" w:cs="Arial" w:eastAsia="Arial" w:hAnsi="Arial"/>
                <w:sz w:val="14"/>
                <w:szCs w:val="14"/>
                <w:color w:val="auto"/>
              </w:rPr>
              <w:t>(151,725)</w:t>
            </w:r>
          </w:p>
        </w:tc>
        <w:tc>
          <w:tcPr>
            <w:tcW w:w="1080" w:type="dxa"/>
            <w:vAlign w:val="bottom"/>
          </w:tcPr>
          <w:p>
            <w:pPr>
              <w:jc w:val="center"/>
              <w:spacing w:after="0"/>
              <w:rPr>
                <w:sz w:val="20"/>
                <w:szCs w:val="20"/>
                <w:color w:val="auto"/>
              </w:rPr>
            </w:pPr>
            <w:r>
              <w:rPr>
                <w:rFonts w:ascii="Arial" w:cs="Arial" w:eastAsia="Arial" w:hAnsi="Arial"/>
                <w:sz w:val="14"/>
                <w:szCs w:val="14"/>
                <w:color w:val="auto"/>
              </w:rPr>
              <w:t>8.1%</w:t>
            </w:r>
          </w:p>
        </w:tc>
      </w:tr>
      <w:tr>
        <w:trPr>
          <w:trHeight w:val="203"/>
        </w:trPr>
        <w:tc>
          <w:tcPr>
            <w:tcW w:w="5400" w:type="dxa"/>
            <w:vAlign w:val="bottom"/>
          </w:tcPr>
          <w:p>
            <w:pPr>
              <w:ind w:left="20"/>
              <w:spacing w:after="0"/>
              <w:rPr>
                <w:sz w:val="20"/>
                <w:szCs w:val="20"/>
                <w:color w:val="auto"/>
              </w:rPr>
            </w:pPr>
            <w:r>
              <w:rPr>
                <w:rFonts w:ascii="Arial" w:cs="Arial" w:eastAsia="Arial" w:hAnsi="Arial"/>
                <w:sz w:val="14"/>
                <w:szCs w:val="14"/>
                <w:color w:val="auto"/>
              </w:rPr>
              <w:t>Foreign exchange gains</w:t>
            </w:r>
          </w:p>
        </w:tc>
        <w:tc>
          <w:tcPr>
            <w:tcW w:w="1120" w:type="dxa"/>
            <w:vAlign w:val="bottom"/>
          </w:tcPr>
          <w:p>
            <w:pPr>
              <w:jc w:val="center"/>
              <w:spacing w:after="0"/>
              <w:rPr>
                <w:sz w:val="20"/>
                <w:szCs w:val="20"/>
                <w:color w:val="auto"/>
              </w:rPr>
            </w:pPr>
            <w:r>
              <w:rPr>
                <w:rFonts w:ascii="Arial" w:cs="Arial" w:eastAsia="Arial" w:hAnsi="Arial"/>
                <w:sz w:val="14"/>
                <w:szCs w:val="14"/>
                <w:color w:val="auto"/>
              </w:rPr>
              <w:t>(54,146)</w:t>
            </w:r>
          </w:p>
        </w:tc>
        <w:tc>
          <w:tcPr>
            <w:tcW w:w="1120" w:type="dxa"/>
            <w:vAlign w:val="bottom"/>
          </w:tcPr>
          <w:p>
            <w:pPr>
              <w:jc w:val="center"/>
              <w:ind w:left="8"/>
              <w:spacing w:after="0"/>
              <w:rPr>
                <w:sz w:val="20"/>
                <w:szCs w:val="20"/>
                <w:color w:val="auto"/>
              </w:rPr>
            </w:pPr>
            <w:r>
              <w:rPr>
                <w:rFonts w:ascii="Arial" w:cs="Arial" w:eastAsia="Arial" w:hAnsi="Arial"/>
                <w:sz w:val="14"/>
                <w:szCs w:val="14"/>
                <w:color w:val="auto"/>
              </w:rPr>
              <w:t>54,146</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rPr>
              <w:t>—</w:t>
            </w:r>
          </w:p>
        </w:tc>
        <w:tc>
          <w:tcPr>
            <w:tcW w:w="1080" w:type="dxa"/>
            <w:vAlign w:val="bottom"/>
          </w:tcPr>
          <w:p>
            <w:pPr>
              <w:jc w:val="center"/>
              <w:spacing w:after="0"/>
              <w:rPr>
                <w:sz w:val="20"/>
                <w:szCs w:val="20"/>
                <w:color w:val="auto"/>
              </w:rPr>
            </w:pPr>
            <w:r>
              <w:rPr>
                <w:rFonts w:ascii="Arial" w:cs="Arial" w:eastAsia="Arial" w:hAnsi="Arial"/>
                <w:sz w:val="14"/>
                <w:szCs w:val="14"/>
                <w:color w:val="auto"/>
              </w:rPr>
              <w:t>n.m</w:t>
            </w:r>
          </w:p>
        </w:tc>
      </w:tr>
      <w:tr>
        <w:trPr>
          <w:trHeight w:val="203"/>
        </w:trPr>
        <w:tc>
          <w:tcPr>
            <w:tcW w:w="5400" w:type="dxa"/>
            <w:vAlign w:val="bottom"/>
          </w:tcPr>
          <w:p>
            <w:pPr>
              <w:ind w:left="20"/>
              <w:spacing w:after="0"/>
              <w:rPr>
                <w:sz w:val="20"/>
                <w:szCs w:val="20"/>
                <w:color w:val="auto"/>
              </w:rPr>
            </w:pPr>
            <w:r>
              <w:rPr>
                <w:rFonts w:ascii="Arial" w:cs="Arial" w:eastAsia="Arial" w:hAnsi="Arial"/>
                <w:sz w:val="14"/>
                <w:szCs w:val="14"/>
                <w:color w:val="auto"/>
              </w:rPr>
              <w:t>Result of indexation units</w:t>
            </w:r>
          </w:p>
        </w:tc>
        <w:tc>
          <w:tcPr>
            <w:tcW w:w="1120" w:type="dxa"/>
            <w:vAlign w:val="bottom"/>
          </w:tcPr>
          <w:p>
            <w:pPr>
              <w:jc w:val="center"/>
              <w:spacing w:after="0"/>
              <w:rPr>
                <w:sz w:val="20"/>
                <w:szCs w:val="20"/>
                <w:color w:val="auto"/>
              </w:rPr>
            </w:pPr>
            <w:r>
              <w:rPr>
                <w:rFonts w:ascii="Arial" w:cs="Arial" w:eastAsia="Arial" w:hAnsi="Arial"/>
                <w:sz w:val="14"/>
                <w:szCs w:val="14"/>
                <w:color w:val="auto"/>
              </w:rPr>
              <w:t>340</w:t>
            </w:r>
          </w:p>
        </w:tc>
        <w:tc>
          <w:tcPr>
            <w:tcW w:w="1120" w:type="dxa"/>
            <w:vAlign w:val="bottom"/>
          </w:tcPr>
          <w:p>
            <w:pPr>
              <w:jc w:val="center"/>
              <w:spacing w:after="0"/>
              <w:rPr>
                <w:sz w:val="20"/>
                <w:szCs w:val="20"/>
                <w:color w:val="auto"/>
              </w:rPr>
            </w:pPr>
            <w:r>
              <w:rPr>
                <w:rFonts w:ascii="Arial" w:cs="Arial" w:eastAsia="Arial" w:hAnsi="Arial"/>
                <w:sz w:val="14"/>
                <w:szCs w:val="14"/>
                <w:color w:val="auto"/>
              </w:rPr>
              <w:t>(340)</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rPr>
              <w:t>—</w:t>
            </w:r>
          </w:p>
        </w:tc>
        <w:tc>
          <w:tcPr>
            <w:tcW w:w="1080" w:type="dxa"/>
            <w:vAlign w:val="bottom"/>
          </w:tcPr>
          <w:p>
            <w:pPr>
              <w:jc w:val="center"/>
              <w:spacing w:after="0"/>
              <w:rPr>
                <w:sz w:val="20"/>
                <w:szCs w:val="20"/>
                <w:color w:val="auto"/>
              </w:rPr>
            </w:pPr>
            <w:r>
              <w:rPr>
                <w:rFonts w:ascii="Arial" w:cs="Arial" w:eastAsia="Arial" w:hAnsi="Arial"/>
                <w:sz w:val="14"/>
                <w:szCs w:val="14"/>
                <w:color w:val="auto"/>
              </w:rPr>
              <w:t>n.m</w:t>
            </w:r>
          </w:p>
        </w:tc>
      </w:tr>
      <w:tr>
        <w:trPr>
          <w:trHeight w:val="209"/>
        </w:trPr>
        <w:tc>
          <w:tcPr>
            <w:tcW w:w="5400" w:type="dxa"/>
            <w:vAlign w:val="bottom"/>
          </w:tcPr>
          <w:p>
            <w:pPr>
              <w:ind w:left="20"/>
              <w:spacing w:after="0"/>
              <w:rPr>
                <w:sz w:val="20"/>
                <w:szCs w:val="20"/>
                <w:color w:val="auto"/>
              </w:rPr>
            </w:pPr>
            <w:r>
              <w:rPr>
                <w:rFonts w:ascii="Arial" w:cs="Arial" w:eastAsia="Arial" w:hAnsi="Arial"/>
                <w:sz w:val="14"/>
                <w:szCs w:val="14"/>
                <w:b w:val="1"/>
                <w:bCs w:val="1"/>
                <w:color w:val="auto"/>
              </w:rPr>
              <w:t>INCOME/(LOSS) BEFORE TAXES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630,502</w:t>
            </w:r>
          </w:p>
        </w:tc>
        <w:tc>
          <w:tcPr>
            <w:tcW w:w="1120" w:type="dxa"/>
            <w:vAlign w:val="bottom"/>
          </w:tcPr>
          <w:p>
            <w:pPr>
              <w:jc w:val="center"/>
              <w:ind w:left="8"/>
              <w:spacing w:after="0"/>
              <w:rPr>
                <w:sz w:val="20"/>
                <w:szCs w:val="20"/>
                <w:color w:val="auto"/>
              </w:rPr>
            </w:pPr>
            <w:r>
              <w:rPr>
                <w:rFonts w:ascii="Arial" w:cs="Arial" w:eastAsia="Arial" w:hAnsi="Arial"/>
                <w:sz w:val="14"/>
                <w:szCs w:val="14"/>
                <w:b w:val="1"/>
                <w:bCs w:val="1"/>
                <w:color w:val="auto"/>
              </w:rPr>
              <w:t>65,006</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695,508</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454,563</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53.0%</w:t>
            </w:r>
          </w:p>
        </w:tc>
      </w:tr>
      <w:tr>
        <w:trPr>
          <w:trHeight w:val="196"/>
        </w:trPr>
        <w:tc>
          <w:tcPr>
            <w:tcW w:w="5400" w:type="dxa"/>
            <w:vAlign w:val="bottom"/>
          </w:tcPr>
          <w:p>
            <w:pPr>
              <w:ind w:left="20"/>
              <w:spacing w:after="0"/>
              <w:rPr>
                <w:sz w:val="20"/>
                <w:szCs w:val="20"/>
                <w:color w:val="auto"/>
              </w:rPr>
            </w:pPr>
            <w:r>
              <w:rPr>
                <w:rFonts w:ascii="Arial" w:cs="Arial" w:eastAsia="Arial" w:hAnsi="Arial"/>
                <w:sz w:val="14"/>
                <w:szCs w:val="14"/>
                <w:color w:val="auto"/>
              </w:rPr>
              <w:t>Income Taxes</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(52,811)</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(52,811)</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(7,606)</w:t>
            </w:r>
          </w:p>
        </w:tc>
        <w:tc>
          <w:tcPr>
            <w:tcW w:w="1080" w:type="dxa"/>
            <w:vAlign w:val="bottom"/>
          </w:tcPr>
          <w:p>
            <w:pPr>
              <w:jc w:val="center"/>
              <w:spacing w:after="0"/>
              <w:rPr>
                <w:sz w:val="20"/>
                <w:szCs w:val="20"/>
                <w:color w:val="auto"/>
              </w:rPr>
            </w:pPr>
            <w:r>
              <w:rPr>
                <w:rFonts w:ascii="Arial" w:cs="Arial" w:eastAsia="Arial" w:hAnsi="Arial"/>
                <w:sz w:val="14"/>
                <w:szCs w:val="14"/>
                <w:color w:val="auto"/>
              </w:rPr>
              <w:t>594.3%</w:t>
            </w:r>
          </w:p>
        </w:tc>
      </w:tr>
      <w:tr>
        <w:trPr>
          <w:trHeight w:val="209"/>
        </w:trPr>
        <w:tc>
          <w:tcPr>
            <w:tcW w:w="5400" w:type="dxa"/>
            <w:vAlign w:val="bottom"/>
          </w:tcPr>
          <w:p>
            <w:pPr>
              <w:ind w:left="20"/>
              <w:spacing w:after="0"/>
              <w:rPr>
                <w:sz w:val="20"/>
                <w:szCs w:val="20"/>
                <w:color w:val="auto"/>
              </w:rPr>
            </w:pPr>
            <w:r>
              <w:rPr>
                <w:rFonts w:ascii="Arial" w:cs="Arial" w:eastAsia="Arial" w:hAnsi="Arial"/>
                <w:sz w:val="14"/>
                <w:szCs w:val="14"/>
                <w:b w:val="1"/>
                <w:bCs w:val="1"/>
                <w:color w:val="auto"/>
              </w:rPr>
              <w:t>NET INCOME/(LOSS)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577,691</w:t>
            </w:r>
          </w:p>
        </w:tc>
        <w:tc>
          <w:tcPr>
            <w:tcW w:w="1120" w:type="dxa"/>
            <w:vAlign w:val="bottom"/>
          </w:tcPr>
          <w:p>
            <w:pPr>
              <w:jc w:val="center"/>
              <w:ind w:left="8"/>
              <w:spacing w:after="0"/>
              <w:rPr>
                <w:sz w:val="20"/>
                <w:szCs w:val="20"/>
                <w:color w:val="auto"/>
              </w:rPr>
            </w:pPr>
            <w:r>
              <w:rPr>
                <w:rFonts w:ascii="Arial" w:cs="Arial" w:eastAsia="Arial" w:hAnsi="Arial"/>
                <w:sz w:val="14"/>
                <w:szCs w:val="14"/>
                <w:b w:val="1"/>
                <w:bCs w:val="1"/>
                <w:color w:val="auto"/>
              </w:rPr>
              <w:t>65,006</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642,697</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446,957</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43.8%</w:t>
            </w:r>
          </w:p>
        </w:tc>
      </w:tr>
      <w:tr>
        <w:trPr>
          <w:trHeight w:val="196"/>
        </w:trPr>
        <w:tc>
          <w:tcPr>
            <w:tcW w:w="5400" w:type="dxa"/>
            <w:vAlign w:val="bottom"/>
          </w:tcPr>
          <w:p>
            <w:pPr>
              <w:ind w:left="20"/>
              <w:spacing w:after="0"/>
              <w:rPr>
                <w:sz w:val="20"/>
                <w:szCs w:val="20"/>
                <w:color w:val="auto"/>
              </w:rPr>
            </w:pPr>
            <w:r>
              <w:rPr>
                <w:rFonts w:ascii="Arial" w:cs="Arial" w:eastAsia="Arial" w:hAnsi="Arial"/>
                <w:sz w:val="14"/>
                <w:szCs w:val="14"/>
                <w:color w:val="auto"/>
              </w:rPr>
              <w:t>Attributable to:</w:t>
            </w: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5400" w:type="dxa"/>
            <w:vAlign w:val="bottom"/>
          </w:tcPr>
          <w:p>
            <w:pPr>
              <w:ind w:left="20"/>
              <w:spacing w:after="0"/>
              <w:rPr>
                <w:sz w:val="20"/>
                <w:szCs w:val="20"/>
                <w:color w:val="auto"/>
              </w:rPr>
            </w:pPr>
            <w:r>
              <w:rPr>
                <w:rFonts w:ascii="Arial" w:cs="Arial" w:eastAsia="Arial" w:hAnsi="Arial"/>
                <w:sz w:val="14"/>
                <w:szCs w:val="14"/>
                <w:color w:val="auto"/>
              </w:rPr>
              <w:t>Owners of the parent company</w:t>
            </w:r>
          </w:p>
        </w:tc>
        <w:tc>
          <w:tcPr>
            <w:tcW w:w="1120" w:type="dxa"/>
            <w:vAlign w:val="bottom"/>
          </w:tcPr>
          <w:p>
            <w:pPr>
              <w:jc w:val="center"/>
              <w:spacing w:after="0"/>
              <w:rPr>
                <w:sz w:val="20"/>
                <w:szCs w:val="20"/>
                <w:color w:val="auto"/>
              </w:rPr>
            </w:pPr>
            <w:r>
              <w:rPr>
                <w:rFonts w:ascii="Arial" w:cs="Arial" w:eastAsia="Arial" w:hAnsi="Arial"/>
                <w:sz w:val="14"/>
                <w:szCs w:val="14"/>
                <w:color w:val="auto"/>
              </w:rPr>
              <w:t>575,989</w:t>
            </w:r>
          </w:p>
        </w:tc>
        <w:tc>
          <w:tcPr>
            <w:tcW w:w="1120" w:type="dxa"/>
            <w:vAlign w:val="bottom"/>
          </w:tcPr>
          <w:p>
            <w:pPr>
              <w:jc w:val="center"/>
              <w:ind w:left="8"/>
              <w:spacing w:after="0"/>
              <w:rPr>
                <w:sz w:val="20"/>
                <w:szCs w:val="20"/>
                <w:color w:val="auto"/>
              </w:rPr>
            </w:pPr>
            <w:r>
              <w:rPr>
                <w:rFonts w:ascii="Arial" w:cs="Arial" w:eastAsia="Arial" w:hAnsi="Arial"/>
                <w:sz w:val="14"/>
                <w:szCs w:val="14"/>
                <w:color w:val="auto"/>
              </w:rPr>
              <w:t>65,006</w:t>
            </w:r>
          </w:p>
        </w:tc>
        <w:tc>
          <w:tcPr>
            <w:tcW w:w="1180" w:type="dxa"/>
            <w:vAlign w:val="bottom"/>
          </w:tcPr>
          <w:p>
            <w:pPr>
              <w:jc w:val="center"/>
              <w:spacing w:after="0"/>
              <w:rPr>
                <w:sz w:val="20"/>
                <w:szCs w:val="20"/>
                <w:color w:val="auto"/>
              </w:rPr>
            </w:pPr>
            <w:r>
              <w:rPr>
                <w:rFonts w:ascii="Arial" w:cs="Arial" w:eastAsia="Arial" w:hAnsi="Arial"/>
                <w:sz w:val="14"/>
                <w:szCs w:val="14"/>
                <w:color w:val="auto"/>
              </w:rPr>
              <w:t>640,995</w:t>
            </w:r>
          </w:p>
        </w:tc>
        <w:tc>
          <w:tcPr>
            <w:tcW w:w="1180" w:type="dxa"/>
            <w:vAlign w:val="bottom"/>
          </w:tcPr>
          <w:p>
            <w:pPr>
              <w:jc w:val="center"/>
              <w:spacing w:after="0"/>
              <w:rPr>
                <w:sz w:val="20"/>
                <w:szCs w:val="20"/>
                <w:color w:val="auto"/>
              </w:rPr>
            </w:pPr>
            <w:r>
              <w:rPr>
                <w:rFonts w:ascii="Arial" w:cs="Arial" w:eastAsia="Arial" w:hAnsi="Arial"/>
                <w:sz w:val="14"/>
                <w:szCs w:val="14"/>
                <w:color w:val="auto"/>
              </w:rPr>
              <w:t>445,608</w:t>
            </w:r>
          </w:p>
        </w:tc>
        <w:tc>
          <w:tcPr>
            <w:tcW w:w="1080" w:type="dxa"/>
            <w:vAlign w:val="bottom"/>
          </w:tcPr>
          <w:p>
            <w:pPr>
              <w:jc w:val="center"/>
              <w:spacing w:after="0"/>
              <w:rPr>
                <w:sz w:val="20"/>
                <w:szCs w:val="20"/>
                <w:color w:val="auto"/>
              </w:rPr>
            </w:pPr>
            <w:r>
              <w:rPr>
                <w:rFonts w:ascii="Arial" w:cs="Arial" w:eastAsia="Arial" w:hAnsi="Arial"/>
                <w:sz w:val="14"/>
                <w:szCs w:val="14"/>
                <w:color w:val="auto"/>
              </w:rPr>
              <w:t>43.8%</w:t>
            </w:r>
          </w:p>
        </w:tc>
      </w:tr>
      <w:tr>
        <w:trPr>
          <w:trHeight w:val="203"/>
        </w:trPr>
        <w:tc>
          <w:tcPr>
            <w:tcW w:w="5400" w:type="dxa"/>
            <w:vAlign w:val="bottom"/>
          </w:tcPr>
          <w:p>
            <w:pPr>
              <w:ind w:left="20"/>
              <w:spacing w:after="0"/>
              <w:rPr>
                <w:sz w:val="20"/>
                <w:szCs w:val="20"/>
                <w:color w:val="auto"/>
              </w:rPr>
            </w:pPr>
            <w:r>
              <w:rPr>
                <w:rFonts w:ascii="Arial" w:cs="Arial" w:eastAsia="Arial" w:hAnsi="Arial"/>
                <w:sz w:val="14"/>
                <w:szCs w:val="14"/>
                <w:color w:val="auto"/>
              </w:rPr>
              <w:t>Non-controlling interest</w:t>
            </w:r>
          </w:p>
        </w:tc>
        <w:tc>
          <w:tcPr>
            <w:tcW w:w="1120" w:type="dxa"/>
            <w:vAlign w:val="bottom"/>
          </w:tcPr>
          <w:p>
            <w:pPr>
              <w:jc w:val="center"/>
              <w:spacing w:after="0"/>
              <w:rPr>
                <w:sz w:val="20"/>
                <w:szCs w:val="20"/>
                <w:color w:val="auto"/>
              </w:rPr>
            </w:pPr>
            <w:r>
              <w:rPr>
                <w:rFonts w:ascii="Arial" w:cs="Arial" w:eastAsia="Arial" w:hAnsi="Arial"/>
                <w:sz w:val="14"/>
                <w:szCs w:val="14"/>
                <w:color w:val="auto"/>
              </w:rPr>
              <w:t>1,702</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rPr>
              <w:t>1,702</w:t>
            </w:r>
          </w:p>
        </w:tc>
        <w:tc>
          <w:tcPr>
            <w:tcW w:w="1180" w:type="dxa"/>
            <w:vAlign w:val="bottom"/>
          </w:tcPr>
          <w:p>
            <w:pPr>
              <w:jc w:val="center"/>
              <w:spacing w:after="0"/>
              <w:rPr>
                <w:sz w:val="20"/>
                <w:szCs w:val="20"/>
                <w:color w:val="auto"/>
              </w:rPr>
            </w:pPr>
            <w:r>
              <w:rPr>
                <w:rFonts w:ascii="Arial" w:cs="Arial" w:eastAsia="Arial" w:hAnsi="Arial"/>
                <w:sz w:val="14"/>
                <w:szCs w:val="14"/>
                <w:color w:val="auto"/>
              </w:rPr>
              <w:t>1,349</w:t>
            </w:r>
          </w:p>
        </w:tc>
        <w:tc>
          <w:tcPr>
            <w:tcW w:w="1080" w:type="dxa"/>
            <w:vAlign w:val="bottom"/>
          </w:tcPr>
          <w:p>
            <w:pPr>
              <w:jc w:val="center"/>
              <w:spacing w:after="0"/>
              <w:rPr>
                <w:sz w:val="20"/>
                <w:szCs w:val="20"/>
                <w:color w:val="auto"/>
              </w:rPr>
            </w:pPr>
            <w:r>
              <w:rPr>
                <w:rFonts w:ascii="Arial" w:cs="Arial" w:eastAsia="Arial" w:hAnsi="Arial"/>
                <w:sz w:val="14"/>
                <w:szCs w:val="14"/>
                <w:color w:val="auto"/>
              </w:rPr>
              <w:t>26.2%</w:t>
            </w:r>
          </w:p>
        </w:tc>
      </w:tr>
      <w:tr>
        <w:trPr>
          <w:trHeight w:val="210"/>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INCOME/(LOSS) attributable to the owners of the parent company</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575,989</w:t>
            </w:r>
          </w:p>
        </w:tc>
        <w:tc>
          <w:tcPr>
            <w:tcW w:w="11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65,006</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640,995</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445,608</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43.8%</w:t>
            </w:r>
          </w:p>
        </w:tc>
      </w:tr>
      <w:tr>
        <w:trPr>
          <w:trHeight w:val="21"/>
        </w:trPr>
        <w:tc>
          <w:tcPr>
            <w:tcW w:w="5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8"/>
        </w:trPr>
        <w:tc>
          <w:tcPr>
            <w:tcW w:w="5400" w:type="dxa"/>
            <w:vAlign w:val="bottom"/>
          </w:tcPr>
          <w:p>
            <w:pPr>
              <w:ind w:left="20"/>
              <w:spacing w:after="0"/>
              <w:rPr>
                <w:sz w:val="20"/>
                <w:szCs w:val="20"/>
                <w:color w:val="auto"/>
              </w:rPr>
            </w:pPr>
            <w:r>
              <w:rPr>
                <w:rFonts w:ascii="Arial" w:cs="Arial" w:eastAsia="Arial" w:hAnsi="Arial"/>
                <w:sz w:val="14"/>
                <w:szCs w:val="14"/>
                <w:i w:val="1"/>
                <w:iCs w:val="1"/>
                <w:color w:val="auto"/>
              </w:rPr>
              <w:t>Net Margin attributable to the owners of the parent company</w:t>
            </w:r>
          </w:p>
        </w:tc>
        <w:tc>
          <w:tcPr>
            <w:tcW w:w="1120" w:type="dxa"/>
            <w:vAlign w:val="bottom"/>
          </w:tcPr>
          <w:p>
            <w:pPr>
              <w:jc w:val="center"/>
              <w:spacing w:after="0"/>
              <w:rPr>
                <w:sz w:val="20"/>
                <w:szCs w:val="20"/>
                <w:color w:val="auto"/>
              </w:rPr>
            </w:pPr>
            <w:r>
              <w:rPr>
                <w:rFonts w:ascii="Arial" w:cs="Arial" w:eastAsia="Arial" w:hAnsi="Arial"/>
                <w:sz w:val="14"/>
                <w:szCs w:val="14"/>
                <w:color w:val="auto"/>
              </w:rPr>
              <w:t>13.9%</w:t>
            </w:r>
          </w:p>
        </w:tc>
        <w:tc>
          <w:tcPr>
            <w:tcW w:w="1120" w:type="dxa"/>
            <w:vAlign w:val="bottom"/>
          </w:tcPr>
          <w:p>
            <w:pPr>
              <w:jc w:val="center"/>
              <w:ind w:left="8"/>
              <w:spacing w:after="0"/>
              <w:rPr>
                <w:sz w:val="20"/>
                <w:szCs w:val="20"/>
                <w:color w:val="auto"/>
              </w:rPr>
            </w:pPr>
            <w:r>
              <w:rPr>
                <w:rFonts w:ascii="Arial" w:cs="Arial" w:eastAsia="Arial" w:hAnsi="Arial"/>
                <w:sz w:val="14"/>
                <w:szCs w:val="14"/>
                <w:color w:val="auto"/>
              </w:rPr>
              <w:t>1.6pp</w:t>
            </w:r>
          </w:p>
        </w:tc>
        <w:tc>
          <w:tcPr>
            <w:tcW w:w="1180" w:type="dxa"/>
            <w:vAlign w:val="bottom"/>
          </w:tcPr>
          <w:p>
            <w:pPr>
              <w:jc w:val="center"/>
              <w:spacing w:after="0"/>
              <w:rPr>
                <w:sz w:val="20"/>
                <w:szCs w:val="20"/>
                <w:color w:val="auto"/>
              </w:rPr>
            </w:pPr>
            <w:r>
              <w:rPr>
                <w:rFonts w:ascii="Arial" w:cs="Arial" w:eastAsia="Arial" w:hAnsi="Arial"/>
                <w:sz w:val="14"/>
                <w:szCs w:val="14"/>
                <w:color w:val="auto"/>
              </w:rPr>
              <w:t>15.4%</w:t>
            </w:r>
          </w:p>
        </w:tc>
        <w:tc>
          <w:tcPr>
            <w:tcW w:w="1180" w:type="dxa"/>
            <w:vAlign w:val="bottom"/>
          </w:tcPr>
          <w:p>
            <w:pPr>
              <w:jc w:val="center"/>
              <w:spacing w:after="0"/>
              <w:rPr>
                <w:sz w:val="20"/>
                <w:szCs w:val="20"/>
                <w:color w:val="auto"/>
              </w:rPr>
            </w:pPr>
            <w:r>
              <w:rPr>
                <w:rFonts w:ascii="Arial" w:cs="Arial" w:eastAsia="Arial" w:hAnsi="Arial"/>
                <w:sz w:val="14"/>
                <w:szCs w:val="14"/>
                <w:color w:val="auto"/>
              </w:rPr>
              <w:t>13.1%</w:t>
            </w:r>
          </w:p>
        </w:tc>
        <w:tc>
          <w:tcPr>
            <w:tcW w:w="1080" w:type="dxa"/>
            <w:vAlign w:val="bottom"/>
          </w:tcPr>
          <w:p>
            <w:pPr>
              <w:jc w:val="center"/>
              <w:spacing w:after="0"/>
              <w:rPr>
                <w:sz w:val="20"/>
                <w:szCs w:val="20"/>
                <w:color w:val="auto"/>
              </w:rPr>
            </w:pPr>
            <w:r>
              <w:rPr>
                <w:rFonts w:ascii="Arial" w:cs="Arial" w:eastAsia="Arial" w:hAnsi="Arial"/>
                <w:sz w:val="14"/>
                <w:szCs w:val="14"/>
                <w:color w:val="auto"/>
              </w:rPr>
              <w:t>2.4pp</w:t>
            </w:r>
          </w:p>
        </w:tc>
      </w:tr>
      <w:tr>
        <w:trPr>
          <w:trHeight w:val="207"/>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Effective Tax Rate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(8.4%)</w:t>
            </w:r>
          </w:p>
        </w:tc>
        <w:tc>
          <w:tcPr>
            <w:tcW w:w="11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0.8pp</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(7.6%)</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(1.7%)</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-5.9pp</w:t>
            </w:r>
          </w:p>
        </w:tc>
      </w:tr>
    </w:tbl>
    <w:p>
      <w:pPr>
        <w:spacing w:after="0" w:line="7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Financial Metrics for the First Quarter 2026</w:t>
      </w:r>
    </w:p>
    <w:p>
      <w:pPr>
        <w:spacing w:after="0" w:line="60"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5400" w:type="dxa"/>
            <w:vAlign w:val="bottom"/>
            <w:shd w:val="clear" w:color="auto" w:fill="1B0087"/>
          </w:tcPr>
          <w:p>
            <w:pPr>
              <w:spacing w:after="0"/>
              <w:rPr>
                <w:sz w:val="17"/>
                <w:szCs w:val="17"/>
                <w:color w:val="auto"/>
              </w:rPr>
            </w:pPr>
          </w:p>
        </w:tc>
        <w:tc>
          <w:tcPr>
            <w:tcW w:w="4540" w:type="dxa"/>
            <w:vAlign w:val="bottom"/>
            <w:gridSpan w:val="2"/>
            <w:shd w:val="clear" w:color="auto" w:fill="1B0088"/>
          </w:tcPr>
          <w:p>
            <w:pPr>
              <w:ind w:left="1460"/>
              <w:spacing w:after="0"/>
              <w:rPr>
                <w:sz w:val="20"/>
                <w:szCs w:val="20"/>
                <w:color w:val="auto"/>
              </w:rPr>
            </w:pPr>
            <w:r>
              <w:rPr>
                <w:rFonts w:ascii="Arial" w:cs="Arial" w:eastAsia="Arial" w:hAnsi="Arial"/>
                <w:sz w:val="14"/>
                <w:szCs w:val="14"/>
                <w:color w:val="FFFFFF"/>
              </w:rPr>
              <w:t>For the three month period ended March 31</w:t>
            </w:r>
          </w:p>
        </w:tc>
        <w:tc>
          <w:tcPr>
            <w:tcW w:w="1140" w:type="dxa"/>
            <w:vAlign w:val="bottom"/>
            <w:shd w:val="clear" w:color="auto" w:fill="1B0088"/>
          </w:tcPr>
          <w:p>
            <w:pPr>
              <w:spacing w:after="0"/>
              <w:rPr>
                <w:sz w:val="17"/>
                <w:szCs w:val="17"/>
                <w:color w:val="auto"/>
              </w:rPr>
            </w:pPr>
          </w:p>
        </w:tc>
      </w:tr>
      <w:tr>
        <w:trPr>
          <w:trHeight w:val="203"/>
        </w:trPr>
        <w:tc>
          <w:tcPr>
            <w:tcW w:w="5400" w:type="dxa"/>
            <w:vAlign w:val="bottom"/>
            <w:shd w:val="clear" w:color="auto" w:fill="1B0087"/>
          </w:tcPr>
          <w:p>
            <w:pPr>
              <w:spacing w:after="0"/>
              <w:rPr>
                <w:sz w:val="17"/>
                <w:szCs w:val="17"/>
                <w:color w:val="auto"/>
              </w:rPr>
            </w:pPr>
          </w:p>
        </w:tc>
        <w:tc>
          <w:tcPr>
            <w:tcW w:w="2280" w:type="dxa"/>
            <w:vAlign w:val="bottom"/>
            <w:shd w:val="clear" w:color="auto" w:fill="1B0088"/>
          </w:tcPr>
          <w:p>
            <w:pPr>
              <w:jc w:val="center"/>
              <w:spacing w:after="0"/>
              <w:rPr>
                <w:sz w:val="20"/>
                <w:szCs w:val="20"/>
                <w:color w:val="auto"/>
              </w:rPr>
            </w:pPr>
            <w:r>
              <w:rPr>
                <w:rFonts w:ascii="Arial" w:cs="Arial" w:eastAsia="Arial" w:hAnsi="Arial"/>
                <w:sz w:val="14"/>
                <w:szCs w:val="14"/>
                <w:color w:val="FFFFFF"/>
              </w:rPr>
              <w:t>2026</w:t>
            </w:r>
          </w:p>
        </w:tc>
        <w:tc>
          <w:tcPr>
            <w:tcW w:w="2260" w:type="dxa"/>
            <w:vAlign w:val="bottom"/>
            <w:shd w:val="clear" w:color="auto" w:fill="1B0088"/>
          </w:tcPr>
          <w:p>
            <w:pPr>
              <w:jc w:val="center"/>
              <w:spacing w:after="0"/>
              <w:rPr>
                <w:sz w:val="20"/>
                <w:szCs w:val="20"/>
                <w:color w:val="auto"/>
              </w:rPr>
            </w:pPr>
            <w:r>
              <w:rPr>
                <w:rFonts w:ascii="Arial" w:cs="Arial" w:eastAsia="Arial" w:hAnsi="Arial"/>
                <w:sz w:val="14"/>
                <w:szCs w:val="14"/>
                <w:color w:val="FFFFFF"/>
              </w:rPr>
              <w:t>2025</w:t>
            </w:r>
          </w:p>
        </w:tc>
        <w:tc>
          <w:tcPr>
            <w:tcW w:w="1140" w:type="dxa"/>
            <w:vAlign w:val="bottom"/>
            <w:shd w:val="clear" w:color="auto" w:fill="1B0087"/>
          </w:tcPr>
          <w:p>
            <w:pPr>
              <w:ind w:left="180"/>
              <w:spacing w:after="0"/>
              <w:rPr>
                <w:sz w:val="20"/>
                <w:szCs w:val="20"/>
                <w:color w:val="auto"/>
              </w:rPr>
            </w:pPr>
            <w:r>
              <w:rPr>
                <w:rFonts w:ascii="Arial" w:cs="Arial" w:eastAsia="Arial" w:hAnsi="Arial"/>
                <w:sz w:val="14"/>
                <w:szCs w:val="14"/>
                <w:color w:val="FFFFFF"/>
              </w:rPr>
              <w:t>Change (%)</w:t>
            </w:r>
          </w:p>
        </w:tc>
      </w:tr>
      <w:tr>
        <w:trPr>
          <w:trHeight w:val="194"/>
        </w:trPr>
        <w:tc>
          <w:tcPr>
            <w:tcW w:w="5400" w:type="dxa"/>
            <w:vAlign w:val="bottom"/>
          </w:tcPr>
          <w:p>
            <w:pPr>
              <w:ind w:left="20"/>
              <w:spacing w:after="0"/>
              <w:rPr>
                <w:sz w:val="20"/>
                <w:szCs w:val="20"/>
                <w:color w:val="auto"/>
              </w:rPr>
            </w:pPr>
            <w:r>
              <w:rPr>
                <w:rFonts w:ascii="Arial" w:cs="Arial" w:eastAsia="Arial" w:hAnsi="Arial"/>
                <w:sz w:val="14"/>
                <w:szCs w:val="14"/>
                <w:color w:val="auto"/>
              </w:rPr>
              <w:t>Diluted Earnings per ADS (US$)</w:t>
            </w:r>
          </w:p>
        </w:tc>
        <w:tc>
          <w:tcPr>
            <w:tcW w:w="2280" w:type="dxa"/>
            <w:vAlign w:val="bottom"/>
          </w:tcPr>
          <w:p>
            <w:pPr>
              <w:jc w:val="center"/>
              <w:spacing w:after="0"/>
              <w:rPr>
                <w:sz w:val="20"/>
                <w:szCs w:val="20"/>
                <w:color w:val="auto"/>
              </w:rPr>
            </w:pPr>
            <w:r>
              <w:rPr>
                <w:rFonts w:ascii="Arial" w:cs="Arial" w:eastAsia="Arial" w:hAnsi="Arial"/>
                <w:sz w:val="14"/>
                <w:szCs w:val="14"/>
                <w:color w:val="auto"/>
              </w:rPr>
              <w:t>2.01</w:t>
            </w:r>
          </w:p>
        </w:tc>
        <w:tc>
          <w:tcPr>
            <w:tcW w:w="2260" w:type="dxa"/>
            <w:vAlign w:val="bottom"/>
          </w:tcPr>
          <w:p>
            <w:pPr>
              <w:jc w:val="center"/>
              <w:spacing w:after="0"/>
              <w:rPr>
                <w:sz w:val="20"/>
                <w:szCs w:val="20"/>
                <w:color w:val="auto"/>
              </w:rPr>
            </w:pPr>
            <w:r>
              <w:rPr>
                <w:rFonts w:ascii="Arial" w:cs="Arial" w:eastAsia="Arial" w:hAnsi="Arial"/>
                <w:sz w:val="14"/>
                <w:szCs w:val="14"/>
                <w:color w:val="auto"/>
              </w:rPr>
              <w:t>1.18</w:t>
            </w:r>
          </w:p>
        </w:tc>
        <w:tc>
          <w:tcPr>
            <w:tcW w:w="1140" w:type="dxa"/>
            <w:vAlign w:val="bottom"/>
          </w:tcPr>
          <w:p>
            <w:pPr>
              <w:jc w:val="center"/>
              <w:spacing w:after="0"/>
              <w:rPr>
                <w:sz w:val="20"/>
                <w:szCs w:val="20"/>
                <w:color w:val="auto"/>
              </w:rPr>
            </w:pPr>
            <w:r>
              <w:rPr>
                <w:rFonts w:ascii="Arial" w:cs="Arial" w:eastAsia="Arial" w:hAnsi="Arial"/>
                <w:sz w:val="14"/>
                <w:szCs w:val="14"/>
                <w:color w:val="auto"/>
              </w:rPr>
              <w:t>70.7%</w:t>
            </w:r>
          </w:p>
        </w:tc>
      </w:tr>
      <w:tr>
        <w:trPr>
          <w:trHeight w:val="203"/>
        </w:trPr>
        <w:tc>
          <w:tcPr>
            <w:tcW w:w="5400" w:type="dxa"/>
            <w:vAlign w:val="bottom"/>
          </w:tcPr>
          <w:p>
            <w:pPr>
              <w:ind w:left="20"/>
              <w:spacing w:after="0"/>
              <w:rPr>
                <w:sz w:val="20"/>
                <w:szCs w:val="20"/>
                <w:color w:val="auto"/>
              </w:rPr>
            </w:pPr>
            <w:r>
              <w:rPr>
                <w:rFonts w:ascii="Arial" w:cs="Arial" w:eastAsia="Arial" w:hAnsi="Arial"/>
                <w:sz w:val="14"/>
                <w:szCs w:val="14"/>
                <w:color w:val="auto"/>
              </w:rPr>
              <w:t>Diluted Earnings per Share (US$)</w:t>
            </w:r>
          </w:p>
        </w:tc>
        <w:tc>
          <w:tcPr>
            <w:tcW w:w="2280" w:type="dxa"/>
            <w:vAlign w:val="bottom"/>
          </w:tcPr>
          <w:p>
            <w:pPr>
              <w:jc w:val="center"/>
              <w:spacing w:after="0"/>
              <w:rPr>
                <w:sz w:val="20"/>
                <w:szCs w:val="20"/>
                <w:color w:val="auto"/>
              </w:rPr>
            </w:pPr>
            <w:r>
              <w:rPr>
                <w:rFonts w:ascii="Arial" w:cs="Arial" w:eastAsia="Arial" w:hAnsi="Arial"/>
                <w:sz w:val="14"/>
                <w:szCs w:val="14"/>
                <w:color w:val="auto"/>
              </w:rPr>
              <w:t>0.001003</w:t>
            </w:r>
          </w:p>
        </w:tc>
        <w:tc>
          <w:tcPr>
            <w:tcW w:w="2260" w:type="dxa"/>
            <w:vAlign w:val="bottom"/>
          </w:tcPr>
          <w:p>
            <w:pPr>
              <w:jc w:val="center"/>
              <w:spacing w:after="0"/>
              <w:rPr>
                <w:sz w:val="20"/>
                <w:szCs w:val="20"/>
                <w:color w:val="auto"/>
              </w:rPr>
            </w:pPr>
            <w:r>
              <w:rPr>
                <w:rFonts w:ascii="Arial" w:cs="Arial" w:eastAsia="Arial" w:hAnsi="Arial"/>
                <w:sz w:val="14"/>
                <w:szCs w:val="14"/>
                <w:color w:val="auto"/>
              </w:rPr>
              <w:t>0.000588</w:t>
            </w:r>
          </w:p>
        </w:tc>
        <w:tc>
          <w:tcPr>
            <w:tcW w:w="1140" w:type="dxa"/>
            <w:vAlign w:val="bottom"/>
          </w:tcPr>
          <w:p>
            <w:pPr>
              <w:jc w:val="center"/>
              <w:spacing w:after="0"/>
              <w:rPr>
                <w:sz w:val="20"/>
                <w:szCs w:val="20"/>
                <w:color w:val="auto"/>
              </w:rPr>
            </w:pPr>
            <w:r>
              <w:rPr>
                <w:rFonts w:ascii="Arial" w:cs="Arial" w:eastAsia="Arial" w:hAnsi="Arial"/>
                <w:sz w:val="14"/>
                <w:szCs w:val="14"/>
                <w:color w:val="auto"/>
              </w:rPr>
              <w:t>70.7%</w:t>
            </w:r>
          </w:p>
        </w:tc>
      </w:tr>
      <w:tr>
        <w:trPr>
          <w:trHeight w:val="203"/>
        </w:trPr>
        <w:tc>
          <w:tcPr>
            <w:tcW w:w="5400" w:type="dxa"/>
            <w:vAlign w:val="bottom"/>
          </w:tcPr>
          <w:p>
            <w:pPr>
              <w:ind w:left="20"/>
              <w:spacing w:after="0"/>
              <w:rPr>
                <w:sz w:val="20"/>
                <w:szCs w:val="20"/>
                <w:color w:val="auto"/>
              </w:rPr>
            </w:pPr>
            <w:r>
              <w:rPr>
                <w:rFonts w:ascii="Arial" w:cs="Arial" w:eastAsia="Arial" w:hAnsi="Arial"/>
                <w:sz w:val="14"/>
                <w:szCs w:val="14"/>
                <w:color w:val="auto"/>
              </w:rPr>
              <w:t>Adjusted EBITDA (in thousands of US Dollars)</w:t>
            </w:r>
          </w:p>
        </w:tc>
        <w:tc>
          <w:tcPr>
            <w:tcW w:w="2280" w:type="dxa"/>
            <w:vAlign w:val="bottom"/>
          </w:tcPr>
          <w:p>
            <w:pPr>
              <w:jc w:val="center"/>
              <w:spacing w:after="0"/>
              <w:rPr>
                <w:sz w:val="20"/>
                <w:szCs w:val="20"/>
                <w:color w:val="auto"/>
              </w:rPr>
            </w:pPr>
            <w:r>
              <w:rPr>
                <w:rFonts w:ascii="Arial" w:cs="Arial" w:eastAsia="Arial" w:hAnsi="Arial"/>
                <w:sz w:val="14"/>
                <w:szCs w:val="14"/>
                <w:color w:val="auto"/>
              </w:rPr>
              <w:t>1,314,779</w:t>
            </w:r>
          </w:p>
        </w:tc>
        <w:tc>
          <w:tcPr>
            <w:tcW w:w="2260" w:type="dxa"/>
            <w:vAlign w:val="bottom"/>
          </w:tcPr>
          <w:p>
            <w:pPr>
              <w:jc w:val="center"/>
              <w:spacing w:after="0"/>
              <w:rPr>
                <w:sz w:val="20"/>
                <w:szCs w:val="20"/>
                <w:color w:val="auto"/>
              </w:rPr>
            </w:pPr>
            <w:r>
              <w:rPr>
                <w:rFonts w:ascii="Arial" w:cs="Arial" w:eastAsia="Arial" w:hAnsi="Arial"/>
                <w:sz w:val="14"/>
                <w:szCs w:val="14"/>
                <w:color w:val="auto"/>
              </w:rPr>
              <w:t>962,133</w:t>
            </w:r>
          </w:p>
        </w:tc>
        <w:tc>
          <w:tcPr>
            <w:tcW w:w="1140" w:type="dxa"/>
            <w:vAlign w:val="bottom"/>
          </w:tcPr>
          <w:p>
            <w:pPr>
              <w:jc w:val="center"/>
              <w:spacing w:after="0"/>
              <w:rPr>
                <w:sz w:val="20"/>
                <w:szCs w:val="20"/>
                <w:color w:val="auto"/>
              </w:rPr>
            </w:pPr>
            <w:r>
              <w:rPr>
                <w:rFonts w:ascii="Arial" w:cs="Arial" w:eastAsia="Arial" w:hAnsi="Arial"/>
                <w:sz w:val="14"/>
                <w:szCs w:val="14"/>
                <w:color w:val="auto"/>
              </w:rPr>
              <w:t>36.7%</w:t>
            </w:r>
          </w:p>
        </w:tc>
      </w:tr>
      <w:tr>
        <w:trPr>
          <w:trHeight w:val="207"/>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Adjusted EBITDA Margin</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rPr>
              <w:t>31.7%</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rPr>
              <w:t>28.2%</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rPr>
              <w:t>3.5pp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64" w:lineRule="auto"/>
        <w:rPr>
          <w:sz w:val="20"/>
          <w:szCs w:val="20"/>
          <w:color w:val="auto"/>
        </w:rPr>
      </w:pPr>
      <w:r>
        <w:rPr>
          <w:rFonts w:ascii="Arial" w:cs="Arial" w:eastAsia="Arial" w:hAnsi="Arial"/>
          <w:sz w:val="14"/>
          <w:szCs w:val="14"/>
          <w:b w:val="1"/>
          <w:bCs w:val="1"/>
          <w:color w:val="6D6D6D"/>
        </w:rPr>
        <w:t>Note</w:t>
      </w:r>
      <w:r>
        <w:rPr>
          <w:rFonts w:ascii="Arial" w:cs="Arial" w:eastAsia="Arial" w:hAnsi="Arial"/>
          <w:sz w:val="14"/>
          <w:szCs w:val="14"/>
          <w:color w:val="6D6D6D"/>
        </w:rPr>
        <w:t>: Adjustments include adjustments to add back the effect of other gains and losses, employee compensation associated with the Corporate Incentive Plan, foreign</w:t>
      </w:r>
      <w:r>
        <w:rPr>
          <w:rFonts w:ascii="Arial" w:cs="Arial" w:eastAsia="Arial" w:hAnsi="Arial"/>
          <w:sz w:val="14"/>
          <w:szCs w:val="14"/>
          <w:b w:val="1"/>
          <w:bCs w:val="1"/>
          <w:color w:val="6D6D6D"/>
        </w:rPr>
        <w:t xml:space="preserve"> </w:t>
      </w:r>
      <w:r>
        <w:rPr>
          <w:rFonts w:ascii="Arial" w:cs="Arial" w:eastAsia="Arial" w:hAnsi="Arial"/>
          <w:sz w:val="14"/>
          <w:szCs w:val="14"/>
          <w:color w:val="6D6D6D"/>
        </w:rPr>
        <w:t>exchange gains and results of indexation units.</w:t>
      </w:r>
    </w:p>
    <w:p>
      <w:pPr>
        <w:sectPr>
          <w:pgSz w:w="11900" w:h="16838" w:orient="portrait"/>
          <w:cols w:equalWidth="0" w:num="1">
            <w:col w:w="11220"/>
          </w:cols>
          <w:pgMar w:left="320" w:top="3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7F7F7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863590"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63590" cy="68580"/>
                    </a:xfrm>
                    <a:prstGeom prst="rect">
                      <a:avLst/>
                    </a:prstGeom>
                    <a:noFill/>
                  </pic:spPr>
                </pic:pic>
              </a:graphicData>
            </a:graphic>
          </wp:anchor>
        </w:drawing>
      </w:r>
    </w:p>
    <w:p>
      <w:pPr>
        <w:sectPr>
          <w:pgSz w:w="11900" w:h="16838" w:orient="portrait"/>
          <w:cols w:equalWidth="0" w:num="1">
            <w:col w:w="11220"/>
          </w:cols>
          <w:pgMar w:left="320" w:top="322" w:right="359" w:bottom="1440" w:gutter="0" w:footer="0" w:header="0"/>
          <w:type w:val="continuous"/>
        </w:sectPr>
      </w:pPr>
    </w:p>
    <w:bookmarkStart w:id="14" w:name="page15"/>
    <w:bookmarkEnd w:id="14"/>
    <w:p>
      <w:pPr>
        <w:ind w:left="140" w:right="10040"/>
        <w:spacing w:after="0" w:line="249" w:lineRule="auto"/>
        <w:rPr>
          <w:sz w:val="20"/>
          <w:szCs w:val="20"/>
          <w:color w:val="auto"/>
        </w:rPr>
      </w:pPr>
      <w:r>
        <w:rPr>
          <w:rFonts w:ascii="Arial" w:cs="Arial" w:eastAsia="Arial" w:hAnsi="Arial"/>
          <w:sz w:val="25"/>
          <w:szCs w:val="25"/>
          <w:i w:val="1"/>
          <w:i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5829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582930"/>
                    </a:xfrm>
                    <a:prstGeom prst="rect">
                      <a:avLst/>
                    </a:prstGeom>
                    <a:noFill/>
                  </pic:spPr>
                </pic:pic>
              </a:graphicData>
            </a:graphic>
          </wp:anchor>
        </w:drawing>
        <w:t>1Q 2026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LATAM Airlines Group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Balance Sheet </w:t>
      </w:r>
      <w:r>
        <w:rPr>
          <w:rFonts w:ascii="Arial" w:cs="Arial" w:eastAsia="Arial" w:hAnsi="Arial"/>
          <w:sz w:val="18"/>
          <w:szCs w:val="18"/>
          <w:color w:val="auto"/>
        </w:rPr>
        <w:t>(in thousands of US Dollars)</w:t>
      </w:r>
    </w:p>
    <w:p>
      <w:pPr>
        <w:spacing w:after="0" w:line="379"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7200" w:type="dxa"/>
            <w:vAlign w:val="bottom"/>
            <w:shd w:val="clear" w:color="auto" w:fill="1B0088"/>
          </w:tcPr>
          <w:p>
            <w:pPr>
              <w:spacing w:after="0"/>
              <w:rPr>
                <w:sz w:val="17"/>
                <w:szCs w:val="17"/>
                <w:color w:val="auto"/>
              </w:rPr>
            </w:pPr>
          </w:p>
        </w:tc>
        <w:tc>
          <w:tcPr>
            <w:tcW w:w="1860" w:type="dxa"/>
            <w:vAlign w:val="bottom"/>
            <w:shd w:val="clear" w:color="auto" w:fill="1B0088"/>
          </w:tcPr>
          <w:p>
            <w:pPr>
              <w:ind w:left="460"/>
              <w:spacing w:after="0"/>
              <w:rPr>
                <w:sz w:val="20"/>
                <w:szCs w:val="20"/>
                <w:color w:val="auto"/>
              </w:rPr>
            </w:pPr>
            <w:r>
              <w:rPr>
                <w:rFonts w:ascii="Arial" w:cs="Arial" w:eastAsia="Arial" w:hAnsi="Arial"/>
                <w:sz w:val="14"/>
                <w:szCs w:val="14"/>
                <w:color w:val="FFFFFF"/>
              </w:rPr>
              <w:t>As of March 31,</w:t>
            </w:r>
          </w:p>
        </w:tc>
        <w:tc>
          <w:tcPr>
            <w:tcW w:w="2000" w:type="dxa"/>
            <w:vAlign w:val="bottom"/>
            <w:shd w:val="clear" w:color="auto" w:fill="1B0088"/>
          </w:tcPr>
          <w:p>
            <w:pPr>
              <w:ind w:left="400"/>
              <w:spacing w:after="0"/>
              <w:rPr>
                <w:sz w:val="20"/>
                <w:szCs w:val="20"/>
                <w:color w:val="auto"/>
              </w:rPr>
            </w:pPr>
            <w:r>
              <w:rPr>
                <w:rFonts w:ascii="Arial" w:cs="Arial" w:eastAsia="Arial" w:hAnsi="Arial"/>
                <w:sz w:val="14"/>
                <w:szCs w:val="14"/>
                <w:color w:val="FFFFFF"/>
              </w:rPr>
              <w:t>As of December 31,</w:t>
            </w:r>
          </w:p>
        </w:tc>
      </w:tr>
      <w:tr>
        <w:trPr>
          <w:trHeight w:val="203"/>
        </w:trPr>
        <w:tc>
          <w:tcPr>
            <w:tcW w:w="7200" w:type="dxa"/>
            <w:vAlign w:val="bottom"/>
            <w:shd w:val="clear" w:color="auto" w:fill="1B0088"/>
          </w:tcPr>
          <w:p>
            <w:pPr>
              <w:spacing w:after="0"/>
              <w:rPr>
                <w:sz w:val="17"/>
                <w:szCs w:val="17"/>
                <w:color w:val="auto"/>
              </w:rPr>
            </w:pPr>
          </w:p>
        </w:tc>
        <w:tc>
          <w:tcPr>
            <w:tcW w:w="1860" w:type="dxa"/>
            <w:vAlign w:val="bottom"/>
            <w:shd w:val="clear" w:color="auto" w:fill="1B0088"/>
          </w:tcPr>
          <w:p>
            <w:pPr>
              <w:jc w:val="center"/>
              <w:spacing w:after="0"/>
              <w:rPr>
                <w:sz w:val="20"/>
                <w:szCs w:val="20"/>
                <w:color w:val="auto"/>
              </w:rPr>
            </w:pPr>
            <w:r>
              <w:rPr>
                <w:rFonts w:ascii="Arial" w:cs="Arial" w:eastAsia="Arial" w:hAnsi="Arial"/>
                <w:sz w:val="14"/>
                <w:szCs w:val="14"/>
                <w:color w:val="FFFFFF"/>
              </w:rPr>
              <w:t>2026</w:t>
            </w:r>
          </w:p>
        </w:tc>
        <w:tc>
          <w:tcPr>
            <w:tcW w:w="2000" w:type="dxa"/>
            <w:vAlign w:val="bottom"/>
            <w:shd w:val="clear" w:color="auto" w:fill="1B0088"/>
          </w:tcPr>
          <w:p>
            <w:pPr>
              <w:jc w:val="center"/>
              <w:spacing w:after="0"/>
              <w:rPr>
                <w:sz w:val="20"/>
                <w:szCs w:val="20"/>
                <w:color w:val="auto"/>
              </w:rPr>
            </w:pPr>
            <w:r>
              <w:rPr>
                <w:rFonts w:ascii="Arial" w:cs="Arial" w:eastAsia="Arial" w:hAnsi="Arial"/>
                <w:sz w:val="14"/>
                <w:szCs w:val="14"/>
                <w:color w:val="FFFFFF"/>
              </w:rPr>
              <w:t>2025</w:t>
            </w:r>
          </w:p>
        </w:tc>
      </w:tr>
      <w:tr>
        <w:trPr>
          <w:trHeight w:val="108"/>
        </w:trPr>
        <w:tc>
          <w:tcPr>
            <w:tcW w:w="72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000" w:type="dxa"/>
            <w:vAlign w:val="bottom"/>
          </w:tcPr>
          <w:p>
            <w:pPr>
              <w:spacing w:after="0"/>
              <w:rPr>
                <w:sz w:val="9"/>
                <w:szCs w:val="9"/>
                <w:color w:val="auto"/>
              </w:rPr>
            </w:pPr>
          </w:p>
        </w:tc>
      </w:tr>
      <w:tr>
        <w:trPr>
          <w:trHeight w:val="203"/>
        </w:trPr>
        <w:tc>
          <w:tcPr>
            <w:tcW w:w="7200" w:type="dxa"/>
            <w:vAlign w:val="bottom"/>
            <w:shd w:val="clear" w:color="auto" w:fill="E5DFEC"/>
          </w:tcPr>
          <w:p>
            <w:pPr>
              <w:ind w:left="20"/>
              <w:spacing w:after="0"/>
              <w:rPr>
                <w:sz w:val="20"/>
                <w:szCs w:val="20"/>
                <w:color w:val="auto"/>
              </w:rPr>
            </w:pPr>
            <w:r>
              <w:rPr>
                <w:rFonts w:ascii="Arial" w:cs="Arial" w:eastAsia="Arial" w:hAnsi="Arial"/>
                <w:sz w:val="14"/>
                <w:szCs w:val="14"/>
                <w:b w:val="1"/>
                <w:bCs w:val="1"/>
                <w:color w:val="auto"/>
              </w:rPr>
              <w:t>Assets</w:t>
            </w:r>
          </w:p>
        </w:tc>
        <w:tc>
          <w:tcPr>
            <w:tcW w:w="1860" w:type="dxa"/>
            <w:vAlign w:val="bottom"/>
            <w:shd w:val="clear" w:color="auto" w:fill="E5DFEC"/>
          </w:tcPr>
          <w:p>
            <w:pPr>
              <w:spacing w:after="0"/>
              <w:rPr>
                <w:sz w:val="17"/>
                <w:szCs w:val="17"/>
                <w:color w:val="auto"/>
              </w:rPr>
            </w:pPr>
          </w:p>
        </w:tc>
        <w:tc>
          <w:tcPr>
            <w:tcW w:w="2000" w:type="dxa"/>
            <w:vAlign w:val="bottom"/>
            <w:shd w:val="clear" w:color="auto" w:fill="E5DFEC"/>
          </w:tcPr>
          <w:p>
            <w:pPr>
              <w:spacing w:after="0"/>
              <w:rPr>
                <w:sz w:val="17"/>
                <w:szCs w:val="17"/>
                <w:color w:val="auto"/>
              </w:rPr>
            </w:pPr>
          </w:p>
        </w:tc>
      </w:tr>
      <w:tr>
        <w:trPr>
          <w:trHeight w:val="194"/>
        </w:trPr>
        <w:tc>
          <w:tcPr>
            <w:tcW w:w="720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860" w:type="dxa"/>
            <w:vAlign w:val="bottom"/>
          </w:tcPr>
          <w:p>
            <w:pPr>
              <w:jc w:val="center"/>
              <w:spacing w:after="0"/>
              <w:rPr>
                <w:sz w:val="20"/>
                <w:szCs w:val="20"/>
                <w:color w:val="auto"/>
              </w:rPr>
            </w:pPr>
            <w:r>
              <w:rPr>
                <w:rFonts w:ascii="Arial" w:cs="Arial" w:eastAsia="Arial" w:hAnsi="Arial"/>
                <w:sz w:val="14"/>
                <w:szCs w:val="14"/>
                <w:color w:val="auto"/>
              </w:rPr>
              <w:t>2,540,752</w:t>
            </w:r>
          </w:p>
        </w:tc>
        <w:tc>
          <w:tcPr>
            <w:tcW w:w="2000" w:type="dxa"/>
            <w:vAlign w:val="bottom"/>
          </w:tcPr>
          <w:p>
            <w:pPr>
              <w:jc w:val="center"/>
              <w:spacing w:after="0"/>
              <w:rPr>
                <w:sz w:val="20"/>
                <w:szCs w:val="20"/>
                <w:color w:val="auto"/>
              </w:rPr>
            </w:pPr>
            <w:r>
              <w:rPr>
                <w:rFonts w:ascii="Arial" w:cs="Arial" w:eastAsia="Arial" w:hAnsi="Arial"/>
                <w:sz w:val="14"/>
                <w:szCs w:val="14"/>
                <w:color w:val="auto"/>
                <w:w w:val="99"/>
              </w:rPr>
              <w:t>2,150,113</w:t>
            </w:r>
          </w:p>
        </w:tc>
      </w:tr>
      <w:tr>
        <w:trPr>
          <w:trHeight w:val="203"/>
        </w:trPr>
        <w:tc>
          <w:tcPr>
            <w:tcW w:w="7200" w:type="dxa"/>
            <w:vAlign w:val="bottom"/>
          </w:tcPr>
          <w:p>
            <w:pPr>
              <w:ind w:left="20"/>
              <w:spacing w:after="0"/>
              <w:rPr>
                <w:sz w:val="20"/>
                <w:szCs w:val="20"/>
                <w:color w:val="auto"/>
              </w:rPr>
            </w:pPr>
            <w:r>
              <w:rPr>
                <w:rFonts w:ascii="Arial" w:cs="Arial" w:eastAsia="Arial" w:hAnsi="Arial"/>
                <w:sz w:val="14"/>
                <w:szCs w:val="14"/>
                <w:color w:val="auto"/>
              </w:rPr>
              <w:t>Other financial assets</w:t>
            </w:r>
          </w:p>
        </w:tc>
        <w:tc>
          <w:tcPr>
            <w:tcW w:w="1860" w:type="dxa"/>
            <w:vAlign w:val="bottom"/>
          </w:tcPr>
          <w:p>
            <w:pPr>
              <w:jc w:val="center"/>
              <w:spacing w:after="0"/>
              <w:rPr>
                <w:sz w:val="20"/>
                <w:szCs w:val="20"/>
                <w:color w:val="auto"/>
              </w:rPr>
            </w:pPr>
            <w:r>
              <w:rPr>
                <w:rFonts w:ascii="Arial" w:cs="Arial" w:eastAsia="Arial" w:hAnsi="Arial"/>
                <w:sz w:val="14"/>
                <w:szCs w:val="14"/>
                <w:color w:val="auto"/>
              </w:rPr>
              <w:t>128,268</w:t>
            </w:r>
          </w:p>
        </w:tc>
        <w:tc>
          <w:tcPr>
            <w:tcW w:w="2000" w:type="dxa"/>
            <w:vAlign w:val="bottom"/>
          </w:tcPr>
          <w:p>
            <w:pPr>
              <w:jc w:val="center"/>
              <w:spacing w:after="0"/>
              <w:rPr>
                <w:sz w:val="20"/>
                <w:szCs w:val="20"/>
                <w:color w:val="auto"/>
              </w:rPr>
            </w:pPr>
            <w:r>
              <w:rPr>
                <w:rFonts w:ascii="Arial" w:cs="Arial" w:eastAsia="Arial" w:hAnsi="Arial"/>
                <w:sz w:val="14"/>
                <w:szCs w:val="14"/>
                <w:color w:val="auto"/>
              </w:rPr>
              <w:t>70,544</w:t>
            </w:r>
          </w:p>
        </w:tc>
      </w:tr>
      <w:tr>
        <w:trPr>
          <w:trHeight w:val="203"/>
        </w:trPr>
        <w:tc>
          <w:tcPr>
            <w:tcW w:w="7200" w:type="dxa"/>
            <w:vAlign w:val="bottom"/>
          </w:tcPr>
          <w:p>
            <w:pPr>
              <w:ind w:left="20"/>
              <w:spacing w:after="0"/>
              <w:rPr>
                <w:sz w:val="20"/>
                <w:szCs w:val="20"/>
                <w:color w:val="auto"/>
              </w:rPr>
            </w:pPr>
            <w:r>
              <w:rPr>
                <w:rFonts w:ascii="Arial" w:cs="Arial" w:eastAsia="Arial" w:hAnsi="Arial"/>
                <w:sz w:val="14"/>
                <w:szCs w:val="14"/>
                <w:color w:val="auto"/>
              </w:rPr>
              <w:t>Other non-financial assets</w:t>
            </w:r>
          </w:p>
        </w:tc>
        <w:tc>
          <w:tcPr>
            <w:tcW w:w="1860" w:type="dxa"/>
            <w:vAlign w:val="bottom"/>
          </w:tcPr>
          <w:p>
            <w:pPr>
              <w:jc w:val="center"/>
              <w:spacing w:after="0"/>
              <w:rPr>
                <w:sz w:val="20"/>
                <w:szCs w:val="20"/>
                <w:color w:val="auto"/>
              </w:rPr>
            </w:pPr>
            <w:r>
              <w:rPr>
                <w:rFonts w:ascii="Arial" w:cs="Arial" w:eastAsia="Arial" w:hAnsi="Arial"/>
                <w:sz w:val="14"/>
                <w:szCs w:val="14"/>
                <w:color w:val="auto"/>
              </w:rPr>
              <w:t>250,135</w:t>
            </w:r>
          </w:p>
        </w:tc>
        <w:tc>
          <w:tcPr>
            <w:tcW w:w="2000" w:type="dxa"/>
            <w:vAlign w:val="bottom"/>
          </w:tcPr>
          <w:p>
            <w:pPr>
              <w:jc w:val="center"/>
              <w:spacing w:after="0"/>
              <w:rPr>
                <w:sz w:val="20"/>
                <w:szCs w:val="20"/>
                <w:color w:val="auto"/>
              </w:rPr>
            </w:pPr>
            <w:r>
              <w:rPr>
                <w:rFonts w:ascii="Arial" w:cs="Arial" w:eastAsia="Arial" w:hAnsi="Arial"/>
                <w:sz w:val="14"/>
                <w:szCs w:val="14"/>
                <w:color w:val="auto"/>
              </w:rPr>
              <w:t>236,071</w:t>
            </w:r>
          </w:p>
        </w:tc>
      </w:tr>
      <w:tr>
        <w:trPr>
          <w:trHeight w:val="203"/>
        </w:trPr>
        <w:tc>
          <w:tcPr>
            <w:tcW w:w="7200" w:type="dxa"/>
            <w:vAlign w:val="bottom"/>
          </w:tcPr>
          <w:p>
            <w:pPr>
              <w:ind w:left="20"/>
              <w:spacing w:after="0"/>
              <w:rPr>
                <w:sz w:val="20"/>
                <w:szCs w:val="20"/>
                <w:color w:val="auto"/>
              </w:rPr>
            </w:pPr>
            <w:r>
              <w:rPr>
                <w:rFonts w:ascii="Arial" w:cs="Arial" w:eastAsia="Arial" w:hAnsi="Arial"/>
                <w:sz w:val="14"/>
                <w:szCs w:val="14"/>
                <w:color w:val="auto"/>
              </w:rPr>
              <w:t>Trade and other accounts receivable</w:t>
            </w:r>
          </w:p>
        </w:tc>
        <w:tc>
          <w:tcPr>
            <w:tcW w:w="1860" w:type="dxa"/>
            <w:vAlign w:val="bottom"/>
          </w:tcPr>
          <w:p>
            <w:pPr>
              <w:jc w:val="center"/>
              <w:spacing w:after="0"/>
              <w:rPr>
                <w:sz w:val="20"/>
                <w:szCs w:val="20"/>
                <w:color w:val="auto"/>
              </w:rPr>
            </w:pPr>
            <w:r>
              <w:rPr>
                <w:rFonts w:ascii="Arial" w:cs="Arial" w:eastAsia="Arial" w:hAnsi="Arial"/>
                <w:sz w:val="14"/>
                <w:szCs w:val="14"/>
                <w:color w:val="auto"/>
              </w:rPr>
              <w:t>1,475,230</w:t>
            </w:r>
          </w:p>
        </w:tc>
        <w:tc>
          <w:tcPr>
            <w:tcW w:w="2000" w:type="dxa"/>
            <w:vAlign w:val="bottom"/>
          </w:tcPr>
          <w:p>
            <w:pPr>
              <w:jc w:val="center"/>
              <w:spacing w:after="0"/>
              <w:rPr>
                <w:sz w:val="20"/>
                <w:szCs w:val="20"/>
                <w:color w:val="auto"/>
              </w:rPr>
            </w:pPr>
            <w:r>
              <w:rPr>
                <w:rFonts w:ascii="Arial" w:cs="Arial" w:eastAsia="Arial" w:hAnsi="Arial"/>
                <w:sz w:val="14"/>
                <w:szCs w:val="14"/>
                <w:color w:val="auto"/>
              </w:rPr>
              <w:t>1,381,869</w:t>
            </w:r>
          </w:p>
        </w:tc>
      </w:tr>
      <w:tr>
        <w:trPr>
          <w:trHeight w:val="203"/>
        </w:trPr>
        <w:tc>
          <w:tcPr>
            <w:tcW w:w="7200" w:type="dxa"/>
            <w:vAlign w:val="bottom"/>
          </w:tcPr>
          <w:p>
            <w:pPr>
              <w:ind w:left="20"/>
              <w:spacing w:after="0"/>
              <w:rPr>
                <w:sz w:val="20"/>
                <w:szCs w:val="20"/>
                <w:color w:val="auto"/>
              </w:rPr>
            </w:pPr>
            <w:r>
              <w:rPr>
                <w:rFonts w:ascii="Arial" w:cs="Arial" w:eastAsia="Arial" w:hAnsi="Arial"/>
                <w:sz w:val="14"/>
                <w:szCs w:val="14"/>
                <w:color w:val="auto"/>
              </w:rPr>
              <w:t>Accounts receivable from related entities</w:t>
            </w:r>
          </w:p>
        </w:tc>
        <w:tc>
          <w:tcPr>
            <w:tcW w:w="1860" w:type="dxa"/>
            <w:vAlign w:val="bottom"/>
          </w:tcPr>
          <w:p>
            <w:pPr>
              <w:jc w:val="center"/>
              <w:spacing w:after="0"/>
              <w:rPr>
                <w:sz w:val="20"/>
                <w:szCs w:val="20"/>
                <w:color w:val="auto"/>
              </w:rPr>
            </w:pPr>
            <w:r>
              <w:rPr>
                <w:rFonts w:ascii="Arial" w:cs="Arial" w:eastAsia="Arial" w:hAnsi="Arial"/>
                <w:sz w:val="14"/>
                <w:szCs w:val="14"/>
                <w:color w:val="auto"/>
              </w:rPr>
              <w:t>17</w:t>
            </w:r>
          </w:p>
        </w:tc>
        <w:tc>
          <w:tcPr>
            <w:tcW w:w="2000" w:type="dxa"/>
            <w:vAlign w:val="bottom"/>
          </w:tcPr>
          <w:p>
            <w:pPr>
              <w:jc w:val="center"/>
              <w:spacing w:after="0"/>
              <w:rPr>
                <w:sz w:val="20"/>
                <w:szCs w:val="20"/>
                <w:color w:val="auto"/>
              </w:rPr>
            </w:pPr>
            <w:r>
              <w:rPr>
                <w:rFonts w:ascii="Arial" w:cs="Arial" w:eastAsia="Arial" w:hAnsi="Arial"/>
                <w:sz w:val="14"/>
                <w:szCs w:val="14"/>
                <w:color w:val="auto"/>
              </w:rPr>
              <w:t>7</w:t>
            </w:r>
          </w:p>
        </w:tc>
      </w:tr>
      <w:tr>
        <w:trPr>
          <w:trHeight w:val="203"/>
        </w:trPr>
        <w:tc>
          <w:tcPr>
            <w:tcW w:w="7200" w:type="dxa"/>
            <w:vAlign w:val="bottom"/>
          </w:tcPr>
          <w:p>
            <w:pPr>
              <w:ind w:left="20"/>
              <w:spacing w:after="0"/>
              <w:rPr>
                <w:sz w:val="20"/>
                <w:szCs w:val="20"/>
                <w:color w:val="auto"/>
              </w:rPr>
            </w:pPr>
            <w:r>
              <w:rPr>
                <w:rFonts w:ascii="Arial" w:cs="Arial" w:eastAsia="Arial" w:hAnsi="Arial"/>
                <w:sz w:val="14"/>
                <w:szCs w:val="14"/>
                <w:color w:val="auto"/>
              </w:rPr>
              <w:t>Inventories</w:t>
            </w:r>
          </w:p>
        </w:tc>
        <w:tc>
          <w:tcPr>
            <w:tcW w:w="1860" w:type="dxa"/>
            <w:vAlign w:val="bottom"/>
          </w:tcPr>
          <w:p>
            <w:pPr>
              <w:jc w:val="center"/>
              <w:spacing w:after="0"/>
              <w:rPr>
                <w:sz w:val="20"/>
                <w:szCs w:val="20"/>
                <w:color w:val="auto"/>
              </w:rPr>
            </w:pPr>
            <w:r>
              <w:rPr>
                <w:rFonts w:ascii="Arial" w:cs="Arial" w:eastAsia="Arial" w:hAnsi="Arial"/>
                <w:sz w:val="14"/>
                <w:szCs w:val="14"/>
                <w:color w:val="auto"/>
              </w:rPr>
              <w:t>524,000</w:t>
            </w:r>
          </w:p>
        </w:tc>
        <w:tc>
          <w:tcPr>
            <w:tcW w:w="2000" w:type="dxa"/>
            <w:vAlign w:val="bottom"/>
          </w:tcPr>
          <w:p>
            <w:pPr>
              <w:jc w:val="center"/>
              <w:spacing w:after="0"/>
              <w:rPr>
                <w:sz w:val="20"/>
                <w:szCs w:val="20"/>
                <w:color w:val="auto"/>
              </w:rPr>
            </w:pPr>
            <w:r>
              <w:rPr>
                <w:rFonts w:ascii="Arial" w:cs="Arial" w:eastAsia="Arial" w:hAnsi="Arial"/>
                <w:sz w:val="14"/>
                <w:szCs w:val="14"/>
                <w:color w:val="auto"/>
              </w:rPr>
              <w:t>458,566</w:t>
            </w:r>
          </w:p>
        </w:tc>
      </w:tr>
      <w:tr>
        <w:trPr>
          <w:trHeight w:val="203"/>
        </w:trPr>
        <w:tc>
          <w:tcPr>
            <w:tcW w:w="7200" w:type="dxa"/>
            <w:vAlign w:val="bottom"/>
          </w:tcPr>
          <w:p>
            <w:pPr>
              <w:ind w:left="20"/>
              <w:spacing w:after="0"/>
              <w:rPr>
                <w:sz w:val="20"/>
                <w:szCs w:val="20"/>
                <w:color w:val="auto"/>
              </w:rPr>
            </w:pPr>
            <w:r>
              <w:rPr>
                <w:rFonts w:ascii="Arial" w:cs="Arial" w:eastAsia="Arial" w:hAnsi="Arial"/>
                <w:sz w:val="14"/>
                <w:szCs w:val="14"/>
                <w:color w:val="auto"/>
              </w:rPr>
              <w:t>Current tax assets</w:t>
            </w:r>
          </w:p>
        </w:tc>
        <w:tc>
          <w:tcPr>
            <w:tcW w:w="1860" w:type="dxa"/>
            <w:vAlign w:val="bottom"/>
          </w:tcPr>
          <w:p>
            <w:pPr>
              <w:jc w:val="center"/>
              <w:spacing w:after="0"/>
              <w:rPr>
                <w:sz w:val="20"/>
                <w:szCs w:val="20"/>
                <w:color w:val="auto"/>
              </w:rPr>
            </w:pPr>
            <w:r>
              <w:rPr>
                <w:rFonts w:ascii="Arial" w:cs="Arial" w:eastAsia="Arial" w:hAnsi="Arial"/>
                <w:sz w:val="14"/>
                <w:szCs w:val="14"/>
                <w:color w:val="auto"/>
              </w:rPr>
              <w:t>122,587</w:t>
            </w:r>
          </w:p>
        </w:tc>
        <w:tc>
          <w:tcPr>
            <w:tcW w:w="2000" w:type="dxa"/>
            <w:vAlign w:val="bottom"/>
          </w:tcPr>
          <w:p>
            <w:pPr>
              <w:jc w:val="center"/>
              <w:spacing w:after="0"/>
              <w:rPr>
                <w:sz w:val="20"/>
                <w:szCs w:val="20"/>
                <w:color w:val="auto"/>
              </w:rPr>
            </w:pPr>
            <w:r>
              <w:rPr>
                <w:rFonts w:ascii="Arial" w:cs="Arial" w:eastAsia="Arial" w:hAnsi="Arial"/>
                <w:sz w:val="14"/>
                <w:szCs w:val="14"/>
                <w:color w:val="auto"/>
              </w:rPr>
              <w:t>75,704</w:t>
            </w:r>
          </w:p>
        </w:tc>
      </w:tr>
      <w:tr>
        <w:trPr>
          <w:trHeight w:val="208"/>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Total current assets other than non-current assets (or disposal groups) classified as held for sale</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5,040,989</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rPr>
              <w:t>4,372,874</w:t>
            </w:r>
          </w:p>
        </w:tc>
      </w:tr>
      <w:tr>
        <w:trPr>
          <w:trHeight w:val="304"/>
        </w:trPr>
        <w:tc>
          <w:tcPr>
            <w:tcW w:w="7200" w:type="dxa"/>
            <w:vAlign w:val="bottom"/>
          </w:tcPr>
          <w:p>
            <w:pPr>
              <w:ind w:left="20"/>
              <w:spacing w:after="0"/>
              <w:rPr>
                <w:sz w:val="20"/>
                <w:szCs w:val="20"/>
                <w:color w:val="auto"/>
              </w:rPr>
            </w:pPr>
            <w:r>
              <w:rPr>
                <w:rFonts w:ascii="Arial" w:cs="Arial" w:eastAsia="Arial" w:hAnsi="Arial"/>
                <w:sz w:val="14"/>
                <w:szCs w:val="14"/>
                <w:color w:val="auto"/>
              </w:rPr>
              <w:t>Non-current assets (or disposal groups) classified as held for sale</w:t>
            </w:r>
          </w:p>
        </w:tc>
        <w:tc>
          <w:tcPr>
            <w:tcW w:w="1860" w:type="dxa"/>
            <w:vAlign w:val="bottom"/>
          </w:tcPr>
          <w:p>
            <w:pPr>
              <w:jc w:val="center"/>
              <w:spacing w:after="0"/>
              <w:rPr>
                <w:sz w:val="20"/>
                <w:szCs w:val="20"/>
                <w:color w:val="auto"/>
              </w:rPr>
            </w:pPr>
            <w:r>
              <w:rPr>
                <w:rFonts w:ascii="Arial" w:cs="Arial" w:eastAsia="Arial" w:hAnsi="Arial"/>
                <w:sz w:val="14"/>
                <w:szCs w:val="14"/>
                <w:color w:val="auto"/>
              </w:rPr>
              <w:t>10,338</w:t>
            </w:r>
          </w:p>
        </w:tc>
        <w:tc>
          <w:tcPr>
            <w:tcW w:w="2000" w:type="dxa"/>
            <w:vAlign w:val="bottom"/>
          </w:tcPr>
          <w:p>
            <w:pPr>
              <w:jc w:val="center"/>
              <w:spacing w:after="0"/>
              <w:rPr>
                <w:sz w:val="20"/>
                <w:szCs w:val="20"/>
                <w:color w:val="auto"/>
              </w:rPr>
            </w:pPr>
            <w:r>
              <w:rPr>
                <w:rFonts w:ascii="Arial" w:cs="Arial" w:eastAsia="Arial" w:hAnsi="Arial"/>
                <w:sz w:val="14"/>
                <w:szCs w:val="14"/>
                <w:color w:val="auto"/>
              </w:rPr>
              <w:t>10,338</w:t>
            </w:r>
          </w:p>
        </w:tc>
      </w:tr>
      <w:tr>
        <w:trPr>
          <w:trHeight w:val="317"/>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Total current assets</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5,051,327</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rPr>
              <w:t>4,383,212</w:t>
            </w:r>
          </w:p>
        </w:tc>
      </w:tr>
      <w:tr>
        <w:trPr>
          <w:trHeight w:val="304"/>
        </w:trPr>
        <w:tc>
          <w:tcPr>
            <w:tcW w:w="7200" w:type="dxa"/>
            <w:vAlign w:val="bottom"/>
          </w:tcPr>
          <w:p>
            <w:pPr>
              <w:ind w:left="20"/>
              <w:spacing w:after="0"/>
              <w:rPr>
                <w:sz w:val="20"/>
                <w:szCs w:val="20"/>
                <w:color w:val="auto"/>
              </w:rPr>
            </w:pPr>
            <w:r>
              <w:rPr>
                <w:rFonts w:ascii="Arial" w:cs="Arial" w:eastAsia="Arial" w:hAnsi="Arial"/>
                <w:sz w:val="14"/>
                <w:szCs w:val="14"/>
                <w:color w:val="auto"/>
              </w:rPr>
              <w:t>Other financial assets</w:t>
            </w:r>
          </w:p>
        </w:tc>
        <w:tc>
          <w:tcPr>
            <w:tcW w:w="1860" w:type="dxa"/>
            <w:vAlign w:val="bottom"/>
          </w:tcPr>
          <w:p>
            <w:pPr>
              <w:jc w:val="center"/>
              <w:spacing w:after="0"/>
              <w:rPr>
                <w:sz w:val="20"/>
                <w:szCs w:val="20"/>
                <w:color w:val="auto"/>
              </w:rPr>
            </w:pPr>
            <w:r>
              <w:rPr>
                <w:rFonts w:ascii="Arial" w:cs="Arial" w:eastAsia="Arial" w:hAnsi="Arial"/>
                <w:sz w:val="14"/>
                <w:szCs w:val="14"/>
                <w:color w:val="auto"/>
              </w:rPr>
              <w:t>47,721</w:t>
            </w:r>
          </w:p>
        </w:tc>
        <w:tc>
          <w:tcPr>
            <w:tcW w:w="2000" w:type="dxa"/>
            <w:vAlign w:val="bottom"/>
          </w:tcPr>
          <w:p>
            <w:pPr>
              <w:jc w:val="center"/>
              <w:spacing w:after="0"/>
              <w:rPr>
                <w:sz w:val="20"/>
                <w:szCs w:val="20"/>
                <w:color w:val="auto"/>
              </w:rPr>
            </w:pPr>
            <w:r>
              <w:rPr>
                <w:rFonts w:ascii="Arial" w:cs="Arial" w:eastAsia="Arial" w:hAnsi="Arial"/>
                <w:sz w:val="14"/>
                <w:szCs w:val="14"/>
                <w:color w:val="auto"/>
              </w:rPr>
              <w:t>52,139</w:t>
            </w:r>
          </w:p>
        </w:tc>
      </w:tr>
      <w:tr>
        <w:trPr>
          <w:trHeight w:val="203"/>
        </w:trPr>
        <w:tc>
          <w:tcPr>
            <w:tcW w:w="7200" w:type="dxa"/>
            <w:vAlign w:val="bottom"/>
          </w:tcPr>
          <w:p>
            <w:pPr>
              <w:ind w:left="20"/>
              <w:spacing w:after="0"/>
              <w:rPr>
                <w:sz w:val="20"/>
                <w:szCs w:val="20"/>
                <w:color w:val="auto"/>
              </w:rPr>
            </w:pPr>
            <w:r>
              <w:rPr>
                <w:rFonts w:ascii="Arial" w:cs="Arial" w:eastAsia="Arial" w:hAnsi="Arial"/>
                <w:sz w:val="14"/>
                <w:szCs w:val="14"/>
                <w:color w:val="auto"/>
              </w:rPr>
              <w:t>Other non-financial assets</w:t>
            </w:r>
          </w:p>
        </w:tc>
        <w:tc>
          <w:tcPr>
            <w:tcW w:w="1860" w:type="dxa"/>
            <w:vAlign w:val="bottom"/>
          </w:tcPr>
          <w:p>
            <w:pPr>
              <w:jc w:val="center"/>
              <w:spacing w:after="0"/>
              <w:rPr>
                <w:sz w:val="20"/>
                <w:szCs w:val="20"/>
                <w:color w:val="auto"/>
              </w:rPr>
            </w:pPr>
            <w:r>
              <w:rPr>
                <w:rFonts w:ascii="Arial" w:cs="Arial" w:eastAsia="Arial" w:hAnsi="Arial"/>
                <w:sz w:val="14"/>
                <w:szCs w:val="14"/>
                <w:color w:val="auto"/>
              </w:rPr>
              <w:t>97,639</w:t>
            </w:r>
          </w:p>
        </w:tc>
        <w:tc>
          <w:tcPr>
            <w:tcW w:w="2000" w:type="dxa"/>
            <w:vAlign w:val="bottom"/>
          </w:tcPr>
          <w:p>
            <w:pPr>
              <w:jc w:val="center"/>
              <w:spacing w:after="0"/>
              <w:rPr>
                <w:sz w:val="20"/>
                <w:szCs w:val="20"/>
                <w:color w:val="auto"/>
              </w:rPr>
            </w:pPr>
            <w:r>
              <w:rPr>
                <w:rFonts w:ascii="Arial" w:cs="Arial" w:eastAsia="Arial" w:hAnsi="Arial"/>
                <w:sz w:val="14"/>
                <w:szCs w:val="14"/>
                <w:color w:val="auto"/>
              </w:rPr>
              <w:t>93,517</w:t>
            </w:r>
          </w:p>
        </w:tc>
      </w:tr>
      <w:tr>
        <w:trPr>
          <w:trHeight w:val="203"/>
        </w:trPr>
        <w:tc>
          <w:tcPr>
            <w:tcW w:w="7200" w:type="dxa"/>
            <w:vAlign w:val="bottom"/>
          </w:tcPr>
          <w:p>
            <w:pPr>
              <w:ind w:left="20"/>
              <w:spacing w:after="0"/>
              <w:rPr>
                <w:sz w:val="20"/>
                <w:szCs w:val="20"/>
                <w:color w:val="auto"/>
              </w:rPr>
            </w:pPr>
            <w:r>
              <w:rPr>
                <w:rFonts w:ascii="Arial" w:cs="Arial" w:eastAsia="Arial" w:hAnsi="Arial"/>
                <w:sz w:val="14"/>
                <w:szCs w:val="14"/>
                <w:color w:val="auto"/>
              </w:rPr>
              <w:t>Accounts receivable</w:t>
            </w:r>
          </w:p>
        </w:tc>
        <w:tc>
          <w:tcPr>
            <w:tcW w:w="1860" w:type="dxa"/>
            <w:vAlign w:val="bottom"/>
          </w:tcPr>
          <w:p>
            <w:pPr>
              <w:jc w:val="center"/>
              <w:spacing w:after="0"/>
              <w:rPr>
                <w:sz w:val="20"/>
                <w:szCs w:val="20"/>
                <w:color w:val="auto"/>
              </w:rPr>
            </w:pPr>
            <w:r>
              <w:rPr>
                <w:rFonts w:ascii="Arial" w:cs="Arial" w:eastAsia="Arial" w:hAnsi="Arial"/>
                <w:sz w:val="14"/>
                <w:szCs w:val="14"/>
                <w:color w:val="auto"/>
              </w:rPr>
              <w:t>13,671</w:t>
            </w:r>
          </w:p>
        </w:tc>
        <w:tc>
          <w:tcPr>
            <w:tcW w:w="2000" w:type="dxa"/>
            <w:vAlign w:val="bottom"/>
          </w:tcPr>
          <w:p>
            <w:pPr>
              <w:jc w:val="center"/>
              <w:spacing w:after="0"/>
              <w:rPr>
                <w:sz w:val="20"/>
                <w:szCs w:val="20"/>
                <w:color w:val="auto"/>
              </w:rPr>
            </w:pPr>
            <w:r>
              <w:rPr>
                <w:rFonts w:ascii="Arial" w:cs="Arial" w:eastAsia="Arial" w:hAnsi="Arial"/>
                <w:sz w:val="14"/>
                <w:szCs w:val="14"/>
                <w:color w:val="auto"/>
              </w:rPr>
              <w:t>13,950</w:t>
            </w:r>
          </w:p>
        </w:tc>
      </w:tr>
      <w:tr>
        <w:trPr>
          <w:trHeight w:val="202"/>
        </w:trPr>
        <w:tc>
          <w:tcPr>
            <w:tcW w:w="7200" w:type="dxa"/>
            <w:vAlign w:val="bottom"/>
          </w:tcPr>
          <w:p>
            <w:pPr>
              <w:ind w:left="20"/>
              <w:spacing w:after="0"/>
              <w:rPr>
                <w:sz w:val="20"/>
                <w:szCs w:val="20"/>
                <w:color w:val="auto"/>
              </w:rPr>
            </w:pPr>
            <w:r>
              <w:rPr>
                <w:rFonts w:ascii="Arial" w:cs="Arial" w:eastAsia="Arial" w:hAnsi="Arial"/>
                <w:sz w:val="14"/>
                <w:szCs w:val="14"/>
                <w:color w:val="auto"/>
              </w:rPr>
              <w:t>Intangible assets other than goodwill</w:t>
            </w:r>
          </w:p>
        </w:tc>
        <w:tc>
          <w:tcPr>
            <w:tcW w:w="1860" w:type="dxa"/>
            <w:vAlign w:val="bottom"/>
          </w:tcPr>
          <w:p>
            <w:pPr>
              <w:jc w:val="center"/>
              <w:spacing w:after="0"/>
              <w:rPr>
                <w:sz w:val="20"/>
                <w:szCs w:val="20"/>
                <w:color w:val="auto"/>
              </w:rPr>
            </w:pPr>
            <w:r>
              <w:rPr>
                <w:rFonts w:ascii="Arial" w:cs="Arial" w:eastAsia="Arial" w:hAnsi="Arial"/>
                <w:sz w:val="14"/>
                <w:szCs w:val="14"/>
                <w:color w:val="auto"/>
              </w:rPr>
              <w:t>1,190,530</w:t>
            </w:r>
          </w:p>
        </w:tc>
        <w:tc>
          <w:tcPr>
            <w:tcW w:w="2000" w:type="dxa"/>
            <w:vAlign w:val="bottom"/>
          </w:tcPr>
          <w:p>
            <w:pPr>
              <w:jc w:val="center"/>
              <w:spacing w:after="0"/>
              <w:rPr>
                <w:sz w:val="20"/>
                <w:szCs w:val="20"/>
                <w:color w:val="auto"/>
              </w:rPr>
            </w:pPr>
            <w:r>
              <w:rPr>
                <w:rFonts w:ascii="Arial" w:cs="Arial" w:eastAsia="Arial" w:hAnsi="Arial"/>
                <w:sz w:val="14"/>
                <w:szCs w:val="14"/>
                <w:color w:val="auto"/>
              </w:rPr>
              <w:t>1,129,961</w:t>
            </w:r>
          </w:p>
        </w:tc>
      </w:tr>
      <w:tr>
        <w:trPr>
          <w:trHeight w:val="203"/>
        </w:trPr>
        <w:tc>
          <w:tcPr>
            <w:tcW w:w="7200" w:type="dxa"/>
            <w:vAlign w:val="bottom"/>
          </w:tcPr>
          <w:p>
            <w:pPr>
              <w:ind w:left="20"/>
              <w:spacing w:after="0"/>
              <w:rPr>
                <w:sz w:val="20"/>
                <w:szCs w:val="20"/>
                <w:color w:val="auto"/>
              </w:rPr>
            </w:pPr>
            <w:r>
              <w:rPr>
                <w:rFonts w:ascii="Arial" w:cs="Arial" w:eastAsia="Arial" w:hAnsi="Arial"/>
                <w:sz w:val="14"/>
                <w:szCs w:val="14"/>
                <w:color w:val="auto"/>
              </w:rPr>
              <w:t>Property, plant and equipment</w:t>
            </w:r>
          </w:p>
        </w:tc>
        <w:tc>
          <w:tcPr>
            <w:tcW w:w="1860" w:type="dxa"/>
            <w:vAlign w:val="bottom"/>
          </w:tcPr>
          <w:p>
            <w:pPr>
              <w:jc w:val="center"/>
              <w:spacing w:after="0"/>
              <w:rPr>
                <w:sz w:val="20"/>
                <w:szCs w:val="20"/>
                <w:color w:val="auto"/>
              </w:rPr>
            </w:pPr>
            <w:r>
              <w:rPr>
                <w:rFonts w:ascii="Arial" w:cs="Arial" w:eastAsia="Arial" w:hAnsi="Arial"/>
                <w:sz w:val="14"/>
                <w:szCs w:val="14"/>
                <w:color w:val="auto"/>
              </w:rPr>
              <w:t>12,286,964</w:t>
            </w:r>
          </w:p>
        </w:tc>
        <w:tc>
          <w:tcPr>
            <w:tcW w:w="2000" w:type="dxa"/>
            <w:vAlign w:val="bottom"/>
          </w:tcPr>
          <w:p>
            <w:pPr>
              <w:jc w:val="center"/>
              <w:spacing w:after="0"/>
              <w:rPr>
                <w:sz w:val="20"/>
                <w:szCs w:val="20"/>
                <w:color w:val="auto"/>
              </w:rPr>
            </w:pPr>
            <w:r>
              <w:rPr>
                <w:rFonts w:ascii="Arial" w:cs="Arial" w:eastAsia="Arial" w:hAnsi="Arial"/>
                <w:sz w:val="14"/>
                <w:szCs w:val="14"/>
                <w:color w:val="auto"/>
                <w:w w:val="99"/>
              </w:rPr>
              <w:t>11,947,014</w:t>
            </w:r>
          </w:p>
        </w:tc>
      </w:tr>
      <w:tr>
        <w:trPr>
          <w:trHeight w:val="203"/>
        </w:trPr>
        <w:tc>
          <w:tcPr>
            <w:tcW w:w="7200" w:type="dxa"/>
            <w:vAlign w:val="bottom"/>
          </w:tcPr>
          <w:p>
            <w:pPr>
              <w:ind w:left="20"/>
              <w:spacing w:after="0"/>
              <w:rPr>
                <w:sz w:val="20"/>
                <w:szCs w:val="20"/>
                <w:color w:val="auto"/>
              </w:rPr>
            </w:pPr>
            <w:r>
              <w:rPr>
                <w:rFonts w:ascii="Arial" w:cs="Arial" w:eastAsia="Arial" w:hAnsi="Arial"/>
                <w:sz w:val="14"/>
                <w:szCs w:val="14"/>
                <w:color w:val="auto"/>
              </w:rPr>
              <w:t>Deferred tax assets</w:t>
            </w:r>
          </w:p>
        </w:tc>
        <w:tc>
          <w:tcPr>
            <w:tcW w:w="1860" w:type="dxa"/>
            <w:vAlign w:val="bottom"/>
          </w:tcPr>
          <w:p>
            <w:pPr>
              <w:jc w:val="center"/>
              <w:spacing w:after="0"/>
              <w:rPr>
                <w:sz w:val="20"/>
                <w:szCs w:val="20"/>
                <w:color w:val="auto"/>
              </w:rPr>
            </w:pPr>
            <w:r>
              <w:rPr>
                <w:rFonts w:ascii="Arial" w:cs="Arial" w:eastAsia="Arial" w:hAnsi="Arial"/>
                <w:sz w:val="14"/>
                <w:szCs w:val="14"/>
                <w:color w:val="auto"/>
              </w:rPr>
              <w:t>21,345</w:t>
            </w:r>
          </w:p>
        </w:tc>
        <w:tc>
          <w:tcPr>
            <w:tcW w:w="2000" w:type="dxa"/>
            <w:vAlign w:val="bottom"/>
          </w:tcPr>
          <w:p>
            <w:pPr>
              <w:jc w:val="center"/>
              <w:spacing w:after="0"/>
              <w:rPr>
                <w:sz w:val="20"/>
                <w:szCs w:val="20"/>
                <w:color w:val="auto"/>
              </w:rPr>
            </w:pPr>
            <w:r>
              <w:rPr>
                <w:rFonts w:ascii="Arial" w:cs="Arial" w:eastAsia="Arial" w:hAnsi="Arial"/>
                <w:sz w:val="14"/>
                <w:szCs w:val="14"/>
                <w:color w:val="auto"/>
              </w:rPr>
              <w:t>21,098</w:t>
            </w:r>
          </w:p>
        </w:tc>
      </w:tr>
      <w:tr>
        <w:trPr>
          <w:trHeight w:val="210"/>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non-current assets</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13,657,870</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13,257,679</w:t>
            </w:r>
          </w:p>
        </w:tc>
      </w:tr>
      <w:tr>
        <w:trPr>
          <w:trHeight w:val="196"/>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assets</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18,709,197</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17,640,891</w:t>
            </w:r>
          </w:p>
        </w:tc>
      </w:tr>
      <w:tr>
        <w:trPr>
          <w:trHeight w:val="22"/>
        </w:trPr>
        <w:tc>
          <w:tcPr>
            <w:tcW w:w="7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74"/>
        </w:trPr>
        <w:tc>
          <w:tcPr>
            <w:tcW w:w="72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0" w:type="dxa"/>
            <w:vAlign w:val="bottom"/>
          </w:tcPr>
          <w:p>
            <w:pPr>
              <w:spacing w:after="0"/>
              <w:rPr>
                <w:sz w:val="6"/>
                <w:szCs w:val="6"/>
                <w:color w:val="auto"/>
              </w:rPr>
            </w:pPr>
          </w:p>
        </w:tc>
      </w:tr>
      <w:tr>
        <w:trPr>
          <w:trHeight w:val="203"/>
        </w:trPr>
        <w:tc>
          <w:tcPr>
            <w:tcW w:w="7200" w:type="dxa"/>
            <w:vAlign w:val="bottom"/>
            <w:shd w:val="clear" w:color="auto" w:fill="E5DFEC"/>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1860" w:type="dxa"/>
            <w:vAlign w:val="bottom"/>
            <w:shd w:val="clear" w:color="auto" w:fill="E5DFEC"/>
          </w:tcPr>
          <w:p>
            <w:pPr>
              <w:spacing w:after="0"/>
              <w:rPr>
                <w:sz w:val="17"/>
                <w:szCs w:val="17"/>
                <w:color w:val="auto"/>
              </w:rPr>
            </w:pPr>
          </w:p>
        </w:tc>
        <w:tc>
          <w:tcPr>
            <w:tcW w:w="2000" w:type="dxa"/>
            <w:vAlign w:val="bottom"/>
            <w:shd w:val="clear" w:color="auto" w:fill="E5DFEC"/>
          </w:tcPr>
          <w:p>
            <w:pPr>
              <w:spacing w:after="0"/>
              <w:rPr>
                <w:sz w:val="17"/>
                <w:szCs w:val="17"/>
                <w:color w:val="auto"/>
              </w:rPr>
            </w:pPr>
          </w:p>
        </w:tc>
      </w:tr>
      <w:tr>
        <w:trPr>
          <w:trHeight w:val="195"/>
        </w:trPr>
        <w:tc>
          <w:tcPr>
            <w:tcW w:w="7200" w:type="dxa"/>
            <w:vAlign w:val="bottom"/>
          </w:tcPr>
          <w:p>
            <w:pPr>
              <w:ind w:left="20"/>
              <w:spacing w:after="0"/>
              <w:rPr>
                <w:sz w:val="20"/>
                <w:szCs w:val="20"/>
                <w:color w:val="auto"/>
              </w:rPr>
            </w:pPr>
            <w:r>
              <w:rPr>
                <w:rFonts w:ascii="Arial" w:cs="Arial" w:eastAsia="Arial" w:hAnsi="Arial"/>
                <w:sz w:val="14"/>
                <w:szCs w:val="14"/>
                <w:color w:val="auto"/>
              </w:rPr>
              <w:t>Other financial liabilities</w:t>
            </w:r>
          </w:p>
        </w:tc>
        <w:tc>
          <w:tcPr>
            <w:tcW w:w="1860" w:type="dxa"/>
            <w:vAlign w:val="bottom"/>
          </w:tcPr>
          <w:p>
            <w:pPr>
              <w:jc w:val="center"/>
              <w:spacing w:after="0"/>
              <w:rPr>
                <w:sz w:val="20"/>
                <w:szCs w:val="20"/>
                <w:color w:val="auto"/>
              </w:rPr>
            </w:pPr>
            <w:r>
              <w:rPr>
                <w:rFonts w:ascii="Arial" w:cs="Arial" w:eastAsia="Arial" w:hAnsi="Arial"/>
                <w:sz w:val="14"/>
                <w:szCs w:val="14"/>
                <w:color w:val="auto"/>
              </w:rPr>
              <w:t>857,830</w:t>
            </w:r>
          </w:p>
        </w:tc>
        <w:tc>
          <w:tcPr>
            <w:tcW w:w="2000" w:type="dxa"/>
            <w:vAlign w:val="bottom"/>
          </w:tcPr>
          <w:p>
            <w:pPr>
              <w:jc w:val="center"/>
              <w:spacing w:after="0"/>
              <w:rPr>
                <w:sz w:val="20"/>
                <w:szCs w:val="20"/>
                <w:color w:val="auto"/>
              </w:rPr>
            </w:pPr>
            <w:r>
              <w:rPr>
                <w:rFonts w:ascii="Arial" w:cs="Arial" w:eastAsia="Arial" w:hAnsi="Arial"/>
                <w:sz w:val="14"/>
                <w:szCs w:val="14"/>
                <w:color w:val="auto"/>
              </w:rPr>
              <w:t>745,303</w:t>
            </w:r>
          </w:p>
        </w:tc>
      </w:tr>
      <w:tr>
        <w:trPr>
          <w:trHeight w:val="203"/>
        </w:trPr>
        <w:tc>
          <w:tcPr>
            <w:tcW w:w="7200" w:type="dxa"/>
            <w:vAlign w:val="bottom"/>
          </w:tcPr>
          <w:p>
            <w:pPr>
              <w:ind w:left="20"/>
              <w:spacing w:after="0"/>
              <w:rPr>
                <w:sz w:val="20"/>
                <w:szCs w:val="20"/>
                <w:color w:val="auto"/>
              </w:rPr>
            </w:pPr>
            <w:r>
              <w:rPr>
                <w:rFonts w:ascii="Arial" w:cs="Arial" w:eastAsia="Arial" w:hAnsi="Arial"/>
                <w:sz w:val="14"/>
                <w:szCs w:val="14"/>
                <w:color w:val="auto"/>
              </w:rPr>
              <w:t>Trade and other accounts payables</w:t>
            </w:r>
          </w:p>
        </w:tc>
        <w:tc>
          <w:tcPr>
            <w:tcW w:w="1860" w:type="dxa"/>
            <w:vAlign w:val="bottom"/>
          </w:tcPr>
          <w:p>
            <w:pPr>
              <w:jc w:val="center"/>
              <w:spacing w:after="0"/>
              <w:rPr>
                <w:sz w:val="20"/>
                <w:szCs w:val="20"/>
                <w:color w:val="auto"/>
              </w:rPr>
            </w:pPr>
            <w:r>
              <w:rPr>
                <w:rFonts w:ascii="Arial" w:cs="Arial" w:eastAsia="Arial" w:hAnsi="Arial"/>
                <w:sz w:val="14"/>
                <w:szCs w:val="14"/>
                <w:color w:val="auto"/>
              </w:rPr>
              <w:t>2,678,881</w:t>
            </w:r>
          </w:p>
        </w:tc>
        <w:tc>
          <w:tcPr>
            <w:tcW w:w="2000" w:type="dxa"/>
            <w:vAlign w:val="bottom"/>
          </w:tcPr>
          <w:p>
            <w:pPr>
              <w:jc w:val="center"/>
              <w:spacing w:after="0"/>
              <w:rPr>
                <w:sz w:val="20"/>
                <w:szCs w:val="20"/>
                <w:color w:val="auto"/>
              </w:rPr>
            </w:pPr>
            <w:r>
              <w:rPr>
                <w:rFonts w:ascii="Arial" w:cs="Arial" w:eastAsia="Arial" w:hAnsi="Arial"/>
                <w:sz w:val="14"/>
                <w:szCs w:val="14"/>
                <w:color w:val="auto"/>
              </w:rPr>
              <w:t>2,684,846</w:t>
            </w:r>
          </w:p>
        </w:tc>
      </w:tr>
      <w:tr>
        <w:trPr>
          <w:trHeight w:val="203"/>
        </w:trPr>
        <w:tc>
          <w:tcPr>
            <w:tcW w:w="7200" w:type="dxa"/>
            <w:vAlign w:val="bottom"/>
          </w:tcPr>
          <w:p>
            <w:pPr>
              <w:ind w:left="20"/>
              <w:spacing w:after="0"/>
              <w:rPr>
                <w:sz w:val="20"/>
                <w:szCs w:val="20"/>
                <w:color w:val="auto"/>
              </w:rPr>
            </w:pPr>
            <w:r>
              <w:rPr>
                <w:rFonts w:ascii="Arial" w:cs="Arial" w:eastAsia="Arial" w:hAnsi="Arial"/>
                <w:sz w:val="14"/>
                <w:szCs w:val="14"/>
                <w:color w:val="auto"/>
              </w:rPr>
              <w:t>Accounts payable to related entities</w:t>
            </w:r>
          </w:p>
        </w:tc>
        <w:tc>
          <w:tcPr>
            <w:tcW w:w="1860" w:type="dxa"/>
            <w:vAlign w:val="bottom"/>
          </w:tcPr>
          <w:p>
            <w:pPr>
              <w:jc w:val="center"/>
              <w:spacing w:after="0"/>
              <w:rPr>
                <w:sz w:val="20"/>
                <w:szCs w:val="20"/>
                <w:color w:val="auto"/>
              </w:rPr>
            </w:pPr>
            <w:r>
              <w:rPr>
                <w:rFonts w:ascii="Arial" w:cs="Arial" w:eastAsia="Arial" w:hAnsi="Arial"/>
                <w:sz w:val="14"/>
                <w:szCs w:val="14"/>
                <w:color w:val="auto"/>
              </w:rPr>
              <w:t>6,538</w:t>
            </w:r>
          </w:p>
        </w:tc>
        <w:tc>
          <w:tcPr>
            <w:tcW w:w="2000" w:type="dxa"/>
            <w:vAlign w:val="bottom"/>
          </w:tcPr>
          <w:p>
            <w:pPr>
              <w:jc w:val="center"/>
              <w:spacing w:after="0"/>
              <w:rPr>
                <w:sz w:val="20"/>
                <w:szCs w:val="20"/>
                <w:color w:val="auto"/>
              </w:rPr>
            </w:pPr>
            <w:r>
              <w:rPr>
                <w:rFonts w:ascii="Arial" w:cs="Arial" w:eastAsia="Arial" w:hAnsi="Arial"/>
                <w:sz w:val="14"/>
                <w:szCs w:val="14"/>
                <w:color w:val="auto"/>
              </w:rPr>
              <w:t>7,707</w:t>
            </w:r>
          </w:p>
        </w:tc>
      </w:tr>
      <w:tr>
        <w:trPr>
          <w:trHeight w:val="203"/>
        </w:trPr>
        <w:tc>
          <w:tcPr>
            <w:tcW w:w="7200" w:type="dxa"/>
            <w:vAlign w:val="bottom"/>
          </w:tcPr>
          <w:p>
            <w:pPr>
              <w:ind w:left="20"/>
              <w:spacing w:after="0"/>
              <w:rPr>
                <w:sz w:val="20"/>
                <w:szCs w:val="20"/>
                <w:color w:val="auto"/>
              </w:rPr>
            </w:pPr>
            <w:r>
              <w:rPr>
                <w:rFonts w:ascii="Arial" w:cs="Arial" w:eastAsia="Arial" w:hAnsi="Arial"/>
                <w:sz w:val="14"/>
                <w:szCs w:val="14"/>
                <w:color w:val="auto"/>
              </w:rPr>
              <w:t>Other provisions</w:t>
            </w:r>
          </w:p>
        </w:tc>
        <w:tc>
          <w:tcPr>
            <w:tcW w:w="1860" w:type="dxa"/>
            <w:vAlign w:val="bottom"/>
          </w:tcPr>
          <w:p>
            <w:pPr>
              <w:jc w:val="center"/>
              <w:spacing w:after="0"/>
              <w:rPr>
                <w:sz w:val="20"/>
                <w:szCs w:val="20"/>
                <w:color w:val="auto"/>
              </w:rPr>
            </w:pPr>
            <w:r>
              <w:rPr>
                <w:rFonts w:ascii="Arial" w:cs="Arial" w:eastAsia="Arial" w:hAnsi="Arial"/>
                <w:sz w:val="14"/>
                <w:szCs w:val="14"/>
                <w:color w:val="auto"/>
              </w:rPr>
              <w:t>7,470</w:t>
            </w:r>
          </w:p>
        </w:tc>
        <w:tc>
          <w:tcPr>
            <w:tcW w:w="2000" w:type="dxa"/>
            <w:vAlign w:val="bottom"/>
          </w:tcPr>
          <w:p>
            <w:pPr>
              <w:jc w:val="center"/>
              <w:spacing w:after="0"/>
              <w:rPr>
                <w:sz w:val="20"/>
                <w:szCs w:val="20"/>
                <w:color w:val="auto"/>
              </w:rPr>
            </w:pPr>
            <w:r>
              <w:rPr>
                <w:rFonts w:ascii="Arial" w:cs="Arial" w:eastAsia="Arial" w:hAnsi="Arial"/>
                <w:sz w:val="14"/>
                <w:szCs w:val="14"/>
                <w:color w:val="auto"/>
              </w:rPr>
              <w:t>8,413</w:t>
            </w:r>
          </w:p>
        </w:tc>
      </w:tr>
      <w:tr>
        <w:trPr>
          <w:trHeight w:val="202"/>
        </w:trPr>
        <w:tc>
          <w:tcPr>
            <w:tcW w:w="7200" w:type="dxa"/>
            <w:vAlign w:val="bottom"/>
          </w:tcPr>
          <w:p>
            <w:pPr>
              <w:ind w:left="20"/>
              <w:spacing w:after="0"/>
              <w:rPr>
                <w:sz w:val="20"/>
                <w:szCs w:val="20"/>
                <w:color w:val="auto"/>
              </w:rPr>
            </w:pPr>
            <w:r>
              <w:rPr>
                <w:rFonts w:ascii="Arial" w:cs="Arial" w:eastAsia="Arial" w:hAnsi="Arial"/>
                <w:sz w:val="14"/>
                <w:szCs w:val="14"/>
                <w:color w:val="auto"/>
              </w:rPr>
              <w:t>Current tax liabilities</w:t>
            </w:r>
          </w:p>
        </w:tc>
        <w:tc>
          <w:tcPr>
            <w:tcW w:w="1860" w:type="dxa"/>
            <w:vAlign w:val="bottom"/>
          </w:tcPr>
          <w:p>
            <w:pPr>
              <w:jc w:val="center"/>
              <w:spacing w:after="0"/>
              <w:rPr>
                <w:sz w:val="20"/>
                <w:szCs w:val="20"/>
                <w:color w:val="auto"/>
              </w:rPr>
            </w:pPr>
            <w:r>
              <w:rPr>
                <w:rFonts w:ascii="Arial" w:cs="Arial" w:eastAsia="Arial" w:hAnsi="Arial"/>
                <w:sz w:val="14"/>
                <w:szCs w:val="14"/>
                <w:color w:val="auto"/>
              </w:rPr>
              <w:t>65,200</w:t>
            </w:r>
          </w:p>
        </w:tc>
        <w:tc>
          <w:tcPr>
            <w:tcW w:w="2000" w:type="dxa"/>
            <w:vAlign w:val="bottom"/>
          </w:tcPr>
          <w:p>
            <w:pPr>
              <w:jc w:val="center"/>
              <w:spacing w:after="0"/>
              <w:rPr>
                <w:sz w:val="20"/>
                <w:szCs w:val="20"/>
                <w:color w:val="auto"/>
              </w:rPr>
            </w:pPr>
            <w:r>
              <w:rPr>
                <w:rFonts w:ascii="Arial" w:cs="Arial" w:eastAsia="Arial" w:hAnsi="Arial"/>
                <w:sz w:val="14"/>
                <w:szCs w:val="14"/>
                <w:color w:val="auto"/>
              </w:rPr>
              <w:t>31,950</w:t>
            </w:r>
          </w:p>
        </w:tc>
      </w:tr>
      <w:tr>
        <w:trPr>
          <w:trHeight w:val="203"/>
        </w:trPr>
        <w:tc>
          <w:tcPr>
            <w:tcW w:w="7200" w:type="dxa"/>
            <w:vAlign w:val="bottom"/>
          </w:tcPr>
          <w:p>
            <w:pPr>
              <w:ind w:left="20"/>
              <w:spacing w:after="0"/>
              <w:rPr>
                <w:sz w:val="20"/>
                <w:szCs w:val="20"/>
                <w:color w:val="auto"/>
              </w:rPr>
            </w:pPr>
            <w:r>
              <w:rPr>
                <w:rFonts w:ascii="Arial" w:cs="Arial" w:eastAsia="Arial" w:hAnsi="Arial"/>
                <w:sz w:val="14"/>
                <w:szCs w:val="14"/>
                <w:color w:val="auto"/>
              </w:rPr>
              <w:t>Other non-financial liabilities</w:t>
            </w:r>
          </w:p>
        </w:tc>
        <w:tc>
          <w:tcPr>
            <w:tcW w:w="1860" w:type="dxa"/>
            <w:vAlign w:val="bottom"/>
          </w:tcPr>
          <w:p>
            <w:pPr>
              <w:jc w:val="center"/>
              <w:spacing w:after="0"/>
              <w:rPr>
                <w:sz w:val="20"/>
                <w:szCs w:val="20"/>
                <w:color w:val="auto"/>
              </w:rPr>
            </w:pPr>
            <w:r>
              <w:rPr>
                <w:rFonts w:ascii="Arial" w:cs="Arial" w:eastAsia="Arial" w:hAnsi="Arial"/>
                <w:sz w:val="14"/>
                <w:szCs w:val="14"/>
                <w:color w:val="auto"/>
              </w:rPr>
              <w:t>3,903,864</w:t>
            </w:r>
          </w:p>
        </w:tc>
        <w:tc>
          <w:tcPr>
            <w:tcW w:w="2000" w:type="dxa"/>
            <w:vAlign w:val="bottom"/>
          </w:tcPr>
          <w:p>
            <w:pPr>
              <w:jc w:val="center"/>
              <w:spacing w:after="0"/>
              <w:rPr>
                <w:sz w:val="20"/>
                <w:szCs w:val="20"/>
                <w:color w:val="auto"/>
              </w:rPr>
            </w:pPr>
            <w:r>
              <w:rPr>
                <w:rFonts w:ascii="Arial" w:cs="Arial" w:eastAsia="Arial" w:hAnsi="Arial"/>
                <w:sz w:val="14"/>
                <w:szCs w:val="14"/>
                <w:color w:val="auto"/>
              </w:rPr>
              <w:t>3,816,175</w:t>
            </w:r>
          </w:p>
        </w:tc>
      </w:tr>
      <w:tr>
        <w:trPr>
          <w:trHeight w:val="209"/>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Total current liabilities</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7,519,783</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rPr>
              <w:t>7,294,394</w:t>
            </w:r>
          </w:p>
        </w:tc>
      </w:tr>
      <w:tr>
        <w:trPr>
          <w:trHeight w:val="305"/>
        </w:trPr>
        <w:tc>
          <w:tcPr>
            <w:tcW w:w="7200" w:type="dxa"/>
            <w:vAlign w:val="bottom"/>
          </w:tcPr>
          <w:p>
            <w:pPr>
              <w:ind w:left="20"/>
              <w:spacing w:after="0"/>
              <w:rPr>
                <w:sz w:val="20"/>
                <w:szCs w:val="20"/>
                <w:color w:val="auto"/>
              </w:rPr>
            </w:pPr>
            <w:r>
              <w:rPr>
                <w:rFonts w:ascii="Arial" w:cs="Arial" w:eastAsia="Arial" w:hAnsi="Arial"/>
                <w:sz w:val="14"/>
                <w:szCs w:val="14"/>
                <w:color w:val="auto"/>
              </w:rPr>
              <w:t>Other financial liabilities</w:t>
            </w:r>
          </w:p>
        </w:tc>
        <w:tc>
          <w:tcPr>
            <w:tcW w:w="1860" w:type="dxa"/>
            <w:vAlign w:val="bottom"/>
          </w:tcPr>
          <w:p>
            <w:pPr>
              <w:jc w:val="center"/>
              <w:spacing w:after="0"/>
              <w:rPr>
                <w:sz w:val="20"/>
                <w:szCs w:val="20"/>
                <w:color w:val="auto"/>
              </w:rPr>
            </w:pPr>
            <w:r>
              <w:rPr>
                <w:rFonts w:ascii="Arial" w:cs="Arial" w:eastAsia="Arial" w:hAnsi="Arial"/>
                <w:sz w:val="14"/>
                <w:szCs w:val="14"/>
                <w:color w:val="auto"/>
              </w:rPr>
              <w:t>7,541,914</w:t>
            </w:r>
          </w:p>
        </w:tc>
        <w:tc>
          <w:tcPr>
            <w:tcW w:w="2000" w:type="dxa"/>
            <w:vAlign w:val="bottom"/>
          </w:tcPr>
          <w:p>
            <w:pPr>
              <w:jc w:val="center"/>
              <w:spacing w:after="0"/>
              <w:rPr>
                <w:sz w:val="20"/>
                <w:szCs w:val="20"/>
                <w:color w:val="auto"/>
              </w:rPr>
            </w:pPr>
            <w:r>
              <w:rPr>
                <w:rFonts w:ascii="Arial" w:cs="Arial" w:eastAsia="Arial" w:hAnsi="Arial"/>
                <w:sz w:val="14"/>
                <w:szCs w:val="14"/>
                <w:color w:val="auto"/>
              </w:rPr>
              <w:t>7,343,223</w:t>
            </w:r>
          </w:p>
        </w:tc>
      </w:tr>
      <w:tr>
        <w:trPr>
          <w:trHeight w:val="203"/>
        </w:trPr>
        <w:tc>
          <w:tcPr>
            <w:tcW w:w="720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1860" w:type="dxa"/>
            <w:vAlign w:val="bottom"/>
          </w:tcPr>
          <w:p>
            <w:pPr>
              <w:jc w:val="center"/>
              <w:spacing w:after="0"/>
              <w:rPr>
                <w:sz w:val="20"/>
                <w:szCs w:val="20"/>
                <w:color w:val="auto"/>
              </w:rPr>
            </w:pPr>
            <w:r>
              <w:rPr>
                <w:rFonts w:ascii="Arial" w:cs="Arial" w:eastAsia="Arial" w:hAnsi="Arial"/>
                <w:sz w:val="14"/>
                <w:szCs w:val="14"/>
                <w:color w:val="auto"/>
              </w:rPr>
              <w:t>486,132</w:t>
            </w:r>
          </w:p>
        </w:tc>
        <w:tc>
          <w:tcPr>
            <w:tcW w:w="2000" w:type="dxa"/>
            <w:vAlign w:val="bottom"/>
          </w:tcPr>
          <w:p>
            <w:pPr>
              <w:jc w:val="center"/>
              <w:spacing w:after="0"/>
              <w:rPr>
                <w:sz w:val="20"/>
                <w:szCs w:val="20"/>
                <w:color w:val="auto"/>
              </w:rPr>
            </w:pPr>
            <w:r>
              <w:rPr>
                <w:rFonts w:ascii="Arial" w:cs="Arial" w:eastAsia="Arial" w:hAnsi="Arial"/>
                <w:sz w:val="14"/>
                <w:szCs w:val="14"/>
                <w:color w:val="auto"/>
              </w:rPr>
              <w:t>471,208</w:t>
            </w:r>
          </w:p>
        </w:tc>
      </w:tr>
      <w:tr>
        <w:trPr>
          <w:trHeight w:val="202"/>
        </w:trPr>
        <w:tc>
          <w:tcPr>
            <w:tcW w:w="7200" w:type="dxa"/>
            <w:vAlign w:val="bottom"/>
          </w:tcPr>
          <w:p>
            <w:pPr>
              <w:ind w:left="20"/>
              <w:spacing w:after="0"/>
              <w:rPr>
                <w:sz w:val="20"/>
                <w:szCs w:val="20"/>
                <w:color w:val="auto"/>
              </w:rPr>
            </w:pPr>
            <w:r>
              <w:rPr>
                <w:rFonts w:ascii="Arial" w:cs="Arial" w:eastAsia="Arial" w:hAnsi="Arial"/>
                <w:sz w:val="14"/>
                <w:szCs w:val="14"/>
                <w:color w:val="auto"/>
              </w:rPr>
              <w:t>Other provisions</w:t>
            </w:r>
          </w:p>
        </w:tc>
        <w:tc>
          <w:tcPr>
            <w:tcW w:w="1860" w:type="dxa"/>
            <w:vAlign w:val="bottom"/>
          </w:tcPr>
          <w:p>
            <w:pPr>
              <w:jc w:val="center"/>
              <w:spacing w:after="0"/>
              <w:rPr>
                <w:sz w:val="20"/>
                <w:szCs w:val="20"/>
                <w:color w:val="auto"/>
              </w:rPr>
            </w:pPr>
            <w:r>
              <w:rPr>
                <w:rFonts w:ascii="Arial" w:cs="Arial" w:eastAsia="Arial" w:hAnsi="Arial"/>
                <w:sz w:val="14"/>
                <w:szCs w:val="14"/>
                <w:color w:val="auto"/>
              </w:rPr>
              <w:t>702,995</w:t>
            </w:r>
          </w:p>
        </w:tc>
        <w:tc>
          <w:tcPr>
            <w:tcW w:w="2000" w:type="dxa"/>
            <w:vAlign w:val="bottom"/>
          </w:tcPr>
          <w:p>
            <w:pPr>
              <w:jc w:val="center"/>
              <w:spacing w:after="0"/>
              <w:rPr>
                <w:sz w:val="20"/>
                <w:szCs w:val="20"/>
                <w:color w:val="auto"/>
              </w:rPr>
            </w:pPr>
            <w:r>
              <w:rPr>
                <w:rFonts w:ascii="Arial" w:cs="Arial" w:eastAsia="Arial" w:hAnsi="Arial"/>
                <w:sz w:val="14"/>
                <w:szCs w:val="14"/>
                <w:color w:val="auto"/>
                <w:w w:val="98"/>
              </w:rPr>
              <w:t>674,611</w:t>
            </w:r>
          </w:p>
        </w:tc>
      </w:tr>
      <w:tr>
        <w:trPr>
          <w:trHeight w:val="203"/>
        </w:trPr>
        <w:tc>
          <w:tcPr>
            <w:tcW w:w="7200" w:type="dxa"/>
            <w:vAlign w:val="bottom"/>
          </w:tcPr>
          <w:p>
            <w:pPr>
              <w:ind w:left="20"/>
              <w:spacing w:after="0"/>
              <w:rPr>
                <w:sz w:val="20"/>
                <w:szCs w:val="20"/>
                <w:color w:val="auto"/>
              </w:rPr>
            </w:pPr>
            <w:r>
              <w:rPr>
                <w:rFonts w:ascii="Arial" w:cs="Arial" w:eastAsia="Arial" w:hAnsi="Arial"/>
                <w:sz w:val="14"/>
                <w:szCs w:val="14"/>
                <w:color w:val="auto"/>
              </w:rPr>
              <w:t>Deferred tax liabilities</w:t>
            </w:r>
          </w:p>
        </w:tc>
        <w:tc>
          <w:tcPr>
            <w:tcW w:w="1860" w:type="dxa"/>
            <w:vAlign w:val="bottom"/>
          </w:tcPr>
          <w:p>
            <w:pPr>
              <w:jc w:val="center"/>
              <w:spacing w:after="0"/>
              <w:rPr>
                <w:sz w:val="20"/>
                <w:szCs w:val="20"/>
                <w:color w:val="auto"/>
              </w:rPr>
            </w:pPr>
            <w:r>
              <w:rPr>
                <w:rFonts w:ascii="Arial" w:cs="Arial" w:eastAsia="Arial" w:hAnsi="Arial"/>
                <w:sz w:val="14"/>
                <w:szCs w:val="14"/>
                <w:color w:val="auto"/>
              </w:rPr>
              <w:t>352,721</w:t>
            </w:r>
          </w:p>
        </w:tc>
        <w:tc>
          <w:tcPr>
            <w:tcW w:w="2000" w:type="dxa"/>
            <w:vAlign w:val="bottom"/>
          </w:tcPr>
          <w:p>
            <w:pPr>
              <w:jc w:val="center"/>
              <w:spacing w:after="0"/>
              <w:rPr>
                <w:sz w:val="20"/>
                <w:szCs w:val="20"/>
                <w:color w:val="auto"/>
              </w:rPr>
            </w:pPr>
            <w:r>
              <w:rPr>
                <w:rFonts w:ascii="Arial" w:cs="Arial" w:eastAsia="Arial" w:hAnsi="Arial"/>
                <w:sz w:val="14"/>
                <w:szCs w:val="14"/>
                <w:color w:val="auto"/>
              </w:rPr>
              <w:t>338,674</w:t>
            </w:r>
          </w:p>
        </w:tc>
      </w:tr>
      <w:tr>
        <w:trPr>
          <w:trHeight w:val="203"/>
        </w:trPr>
        <w:tc>
          <w:tcPr>
            <w:tcW w:w="7200" w:type="dxa"/>
            <w:vAlign w:val="bottom"/>
          </w:tcPr>
          <w:p>
            <w:pPr>
              <w:ind w:left="20"/>
              <w:spacing w:after="0"/>
              <w:rPr>
                <w:sz w:val="20"/>
                <w:szCs w:val="20"/>
                <w:color w:val="auto"/>
              </w:rPr>
            </w:pPr>
            <w:r>
              <w:rPr>
                <w:rFonts w:ascii="Arial" w:cs="Arial" w:eastAsia="Arial" w:hAnsi="Arial"/>
                <w:sz w:val="14"/>
                <w:szCs w:val="14"/>
                <w:color w:val="auto"/>
              </w:rPr>
              <w:t>Employee benefits</w:t>
            </w:r>
          </w:p>
        </w:tc>
        <w:tc>
          <w:tcPr>
            <w:tcW w:w="1860" w:type="dxa"/>
            <w:vAlign w:val="bottom"/>
          </w:tcPr>
          <w:p>
            <w:pPr>
              <w:jc w:val="center"/>
              <w:spacing w:after="0"/>
              <w:rPr>
                <w:sz w:val="20"/>
                <w:szCs w:val="20"/>
                <w:color w:val="auto"/>
              </w:rPr>
            </w:pPr>
            <w:r>
              <w:rPr>
                <w:rFonts w:ascii="Arial" w:cs="Arial" w:eastAsia="Arial" w:hAnsi="Arial"/>
                <w:sz w:val="14"/>
                <w:szCs w:val="14"/>
                <w:color w:val="auto"/>
              </w:rPr>
              <w:t>178,949</w:t>
            </w:r>
          </w:p>
        </w:tc>
        <w:tc>
          <w:tcPr>
            <w:tcW w:w="2000" w:type="dxa"/>
            <w:vAlign w:val="bottom"/>
          </w:tcPr>
          <w:p>
            <w:pPr>
              <w:jc w:val="center"/>
              <w:spacing w:after="0"/>
              <w:rPr>
                <w:sz w:val="20"/>
                <w:szCs w:val="20"/>
                <w:color w:val="auto"/>
              </w:rPr>
            </w:pPr>
            <w:r>
              <w:rPr>
                <w:rFonts w:ascii="Arial" w:cs="Arial" w:eastAsia="Arial" w:hAnsi="Arial"/>
                <w:sz w:val="14"/>
                <w:szCs w:val="14"/>
                <w:color w:val="auto"/>
              </w:rPr>
              <w:t>181,579</w:t>
            </w:r>
          </w:p>
        </w:tc>
      </w:tr>
      <w:tr>
        <w:trPr>
          <w:trHeight w:val="203"/>
        </w:trPr>
        <w:tc>
          <w:tcPr>
            <w:tcW w:w="7200" w:type="dxa"/>
            <w:vAlign w:val="bottom"/>
          </w:tcPr>
          <w:p>
            <w:pPr>
              <w:ind w:left="20"/>
              <w:spacing w:after="0"/>
              <w:rPr>
                <w:sz w:val="20"/>
                <w:szCs w:val="20"/>
                <w:color w:val="auto"/>
              </w:rPr>
            </w:pPr>
            <w:r>
              <w:rPr>
                <w:rFonts w:ascii="Arial" w:cs="Arial" w:eastAsia="Arial" w:hAnsi="Arial"/>
                <w:sz w:val="14"/>
                <w:szCs w:val="14"/>
                <w:color w:val="auto"/>
              </w:rPr>
              <w:t>Other non-financial liabilities</w:t>
            </w:r>
          </w:p>
        </w:tc>
        <w:tc>
          <w:tcPr>
            <w:tcW w:w="1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0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10"/>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non-current liabilities</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9,262,711</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9,009,295</w:t>
            </w:r>
          </w:p>
        </w:tc>
      </w:tr>
      <w:tr>
        <w:trPr>
          <w:trHeight w:val="196"/>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liabilities</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16,782,494</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16,303,689</w:t>
            </w:r>
          </w:p>
        </w:tc>
      </w:tr>
      <w:tr>
        <w:trPr>
          <w:trHeight w:val="21"/>
        </w:trPr>
        <w:tc>
          <w:tcPr>
            <w:tcW w:w="7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69"/>
        </w:trPr>
        <w:tc>
          <w:tcPr>
            <w:tcW w:w="7200" w:type="dxa"/>
            <w:vAlign w:val="bottom"/>
          </w:tcPr>
          <w:p>
            <w:pPr>
              <w:ind w:left="20"/>
              <w:spacing w:after="0"/>
              <w:rPr>
                <w:sz w:val="20"/>
                <w:szCs w:val="20"/>
                <w:color w:val="auto"/>
              </w:rPr>
            </w:pPr>
            <w:r>
              <w:rPr>
                <w:rFonts w:ascii="Arial" w:cs="Arial" w:eastAsia="Arial" w:hAnsi="Arial"/>
                <w:sz w:val="14"/>
                <w:szCs w:val="14"/>
                <w:color w:val="auto"/>
              </w:rPr>
              <w:t>Share capital</w:t>
            </w:r>
          </w:p>
        </w:tc>
        <w:tc>
          <w:tcPr>
            <w:tcW w:w="1860" w:type="dxa"/>
            <w:vAlign w:val="bottom"/>
          </w:tcPr>
          <w:p>
            <w:pPr>
              <w:jc w:val="center"/>
              <w:spacing w:after="0"/>
              <w:rPr>
                <w:sz w:val="20"/>
                <w:szCs w:val="20"/>
                <w:color w:val="auto"/>
              </w:rPr>
            </w:pPr>
            <w:r>
              <w:rPr>
                <w:rFonts w:ascii="Arial" w:cs="Arial" w:eastAsia="Arial" w:hAnsi="Arial"/>
                <w:sz w:val="14"/>
                <w:szCs w:val="14"/>
                <w:color w:val="auto"/>
              </w:rPr>
              <w:t>4,418,110</w:t>
            </w:r>
          </w:p>
        </w:tc>
        <w:tc>
          <w:tcPr>
            <w:tcW w:w="2000" w:type="dxa"/>
            <w:vAlign w:val="bottom"/>
          </w:tcPr>
          <w:p>
            <w:pPr>
              <w:jc w:val="center"/>
              <w:spacing w:after="0"/>
              <w:rPr>
                <w:sz w:val="20"/>
                <w:szCs w:val="20"/>
                <w:color w:val="auto"/>
              </w:rPr>
            </w:pPr>
            <w:r>
              <w:rPr>
                <w:rFonts w:ascii="Arial" w:cs="Arial" w:eastAsia="Arial" w:hAnsi="Arial"/>
                <w:sz w:val="14"/>
                <w:szCs w:val="14"/>
                <w:color w:val="auto"/>
                <w:w w:val="99"/>
              </w:rPr>
              <w:t>4,418,110</w:t>
            </w:r>
          </w:p>
        </w:tc>
      </w:tr>
      <w:tr>
        <w:trPr>
          <w:trHeight w:val="203"/>
        </w:trPr>
        <w:tc>
          <w:tcPr>
            <w:tcW w:w="7200" w:type="dxa"/>
            <w:vAlign w:val="bottom"/>
          </w:tcPr>
          <w:p>
            <w:pPr>
              <w:ind w:left="20"/>
              <w:spacing w:after="0"/>
              <w:rPr>
                <w:sz w:val="20"/>
                <w:szCs w:val="20"/>
                <w:color w:val="auto"/>
              </w:rPr>
            </w:pPr>
            <w:r>
              <w:rPr>
                <w:rFonts w:ascii="Arial" w:cs="Arial" w:eastAsia="Arial" w:hAnsi="Arial"/>
                <w:sz w:val="14"/>
                <w:szCs w:val="14"/>
                <w:color w:val="auto"/>
              </w:rPr>
              <w:t>Retained earnings</w:t>
            </w:r>
          </w:p>
        </w:tc>
        <w:tc>
          <w:tcPr>
            <w:tcW w:w="1860" w:type="dxa"/>
            <w:vAlign w:val="bottom"/>
          </w:tcPr>
          <w:p>
            <w:pPr>
              <w:jc w:val="center"/>
              <w:spacing w:after="0"/>
              <w:rPr>
                <w:sz w:val="20"/>
                <w:szCs w:val="20"/>
                <w:color w:val="auto"/>
              </w:rPr>
            </w:pPr>
            <w:r>
              <w:rPr>
                <w:rFonts w:ascii="Arial" w:cs="Arial" w:eastAsia="Arial" w:hAnsi="Arial"/>
                <w:sz w:val="14"/>
                <w:szCs w:val="14"/>
                <w:color w:val="auto"/>
              </w:rPr>
              <w:t>2,573,472</w:t>
            </w:r>
          </w:p>
        </w:tc>
        <w:tc>
          <w:tcPr>
            <w:tcW w:w="2000" w:type="dxa"/>
            <w:vAlign w:val="bottom"/>
          </w:tcPr>
          <w:p>
            <w:pPr>
              <w:jc w:val="center"/>
              <w:spacing w:after="0"/>
              <w:rPr>
                <w:sz w:val="20"/>
                <w:szCs w:val="20"/>
                <w:color w:val="auto"/>
              </w:rPr>
            </w:pPr>
            <w:r>
              <w:rPr>
                <w:rFonts w:ascii="Arial" w:cs="Arial" w:eastAsia="Arial" w:hAnsi="Arial"/>
                <w:sz w:val="14"/>
                <w:szCs w:val="14"/>
                <w:color w:val="auto"/>
              </w:rPr>
              <w:t>2,170,280</w:t>
            </w:r>
          </w:p>
        </w:tc>
      </w:tr>
      <w:tr>
        <w:trPr>
          <w:trHeight w:val="203"/>
        </w:trPr>
        <w:tc>
          <w:tcPr>
            <w:tcW w:w="7200" w:type="dxa"/>
            <w:vAlign w:val="bottom"/>
          </w:tcPr>
          <w:p>
            <w:pPr>
              <w:ind w:left="20"/>
              <w:spacing w:after="0"/>
              <w:rPr>
                <w:sz w:val="20"/>
                <w:szCs w:val="20"/>
                <w:color w:val="auto"/>
              </w:rPr>
            </w:pPr>
            <w:r>
              <w:rPr>
                <w:rFonts w:ascii="Arial" w:cs="Arial" w:eastAsia="Arial" w:hAnsi="Arial"/>
                <w:sz w:val="14"/>
                <w:szCs w:val="14"/>
                <w:color w:val="auto"/>
              </w:rPr>
              <w:t>Treasury Shares</w:t>
            </w:r>
          </w:p>
        </w:tc>
        <w:tc>
          <w:tcPr>
            <w:tcW w:w="1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0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03"/>
        </w:trPr>
        <w:tc>
          <w:tcPr>
            <w:tcW w:w="7200" w:type="dxa"/>
            <w:vAlign w:val="bottom"/>
          </w:tcPr>
          <w:p>
            <w:pPr>
              <w:ind w:left="20"/>
              <w:spacing w:after="0"/>
              <w:rPr>
                <w:sz w:val="20"/>
                <w:szCs w:val="20"/>
                <w:color w:val="auto"/>
              </w:rPr>
            </w:pPr>
            <w:r>
              <w:rPr>
                <w:rFonts w:ascii="Arial" w:cs="Arial" w:eastAsia="Arial" w:hAnsi="Arial"/>
                <w:sz w:val="14"/>
                <w:szCs w:val="14"/>
                <w:color w:val="auto"/>
              </w:rPr>
              <w:t>Other equity</w:t>
            </w:r>
          </w:p>
        </w:tc>
        <w:tc>
          <w:tcPr>
            <w:tcW w:w="1860" w:type="dxa"/>
            <w:vAlign w:val="bottom"/>
          </w:tcPr>
          <w:p>
            <w:pPr>
              <w:jc w:val="center"/>
              <w:spacing w:after="0"/>
              <w:rPr>
                <w:sz w:val="20"/>
                <w:szCs w:val="20"/>
                <w:color w:val="auto"/>
              </w:rPr>
            </w:pPr>
            <w:r>
              <w:rPr>
                <w:rFonts w:ascii="Arial" w:cs="Arial" w:eastAsia="Arial" w:hAnsi="Arial"/>
                <w:sz w:val="14"/>
                <w:szCs w:val="14"/>
                <w:color w:val="auto"/>
              </w:rPr>
              <w:t>39</w:t>
            </w:r>
          </w:p>
        </w:tc>
        <w:tc>
          <w:tcPr>
            <w:tcW w:w="2000" w:type="dxa"/>
            <w:vAlign w:val="bottom"/>
          </w:tcPr>
          <w:p>
            <w:pPr>
              <w:jc w:val="center"/>
              <w:spacing w:after="0"/>
              <w:rPr>
                <w:sz w:val="20"/>
                <w:szCs w:val="20"/>
                <w:color w:val="auto"/>
              </w:rPr>
            </w:pPr>
            <w:r>
              <w:rPr>
                <w:rFonts w:ascii="Arial" w:cs="Arial" w:eastAsia="Arial" w:hAnsi="Arial"/>
                <w:sz w:val="14"/>
                <w:szCs w:val="14"/>
                <w:color w:val="auto"/>
              </w:rPr>
              <w:t>39</w:t>
            </w:r>
          </w:p>
        </w:tc>
      </w:tr>
      <w:tr>
        <w:trPr>
          <w:trHeight w:val="203"/>
        </w:trPr>
        <w:tc>
          <w:tcPr>
            <w:tcW w:w="7200" w:type="dxa"/>
            <w:vAlign w:val="bottom"/>
          </w:tcPr>
          <w:p>
            <w:pPr>
              <w:ind w:left="20"/>
              <w:spacing w:after="0"/>
              <w:rPr>
                <w:sz w:val="20"/>
                <w:szCs w:val="20"/>
                <w:color w:val="auto"/>
              </w:rPr>
            </w:pPr>
            <w:r>
              <w:rPr>
                <w:rFonts w:ascii="Arial" w:cs="Arial" w:eastAsia="Arial" w:hAnsi="Arial"/>
                <w:sz w:val="14"/>
                <w:szCs w:val="14"/>
                <w:color w:val="auto"/>
              </w:rPr>
              <w:t>Other reserves</w:t>
            </w:r>
          </w:p>
        </w:tc>
        <w:tc>
          <w:tcPr>
            <w:tcW w:w="1860" w:type="dxa"/>
            <w:vAlign w:val="bottom"/>
          </w:tcPr>
          <w:p>
            <w:pPr>
              <w:jc w:val="center"/>
              <w:spacing w:after="0"/>
              <w:rPr>
                <w:sz w:val="20"/>
                <w:szCs w:val="20"/>
                <w:color w:val="auto"/>
              </w:rPr>
            </w:pPr>
            <w:r>
              <w:rPr>
                <w:rFonts w:ascii="Arial" w:cs="Arial" w:eastAsia="Arial" w:hAnsi="Arial"/>
                <w:sz w:val="14"/>
                <w:szCs w:val="14"/>
                <w:color w:val="auto"/>
              </w:rPr>
              <w:t>(5,057,155)</w:t>
            </w:r>
          </w:p>
        </w:tc>
        <w:tc>
          <w:tcPr>
            <w:tcW w:w="2000" w:type="dxa"/>
            <w:vAlign w:val="bottom"/>
          </w:tcPr>
          <w:p>
            <w:pPr>
              <w:jc w:val="center"/>
              <w:spacing w:after="0"/>
              <w:rPr>
                <w:sz w:val="20"/>
                <w:szCs w:val="20"/>
                <w:color w:val="auto"/>
              </w:rPr>
            </w:pPr>
            <w:r>
              <w:rPr>
                <w:rFonts w:ascii="Arial" w:cs="Arial" w:eastAsia="Arial" w:hAnsi="Arial"/>
                <w:sz w:val="14"/>
                <w:szCs w:val="14"/>
                <w:color w:val="auto"/>
              </w:rPr>
              <w:t>(5,242,835)</w:t>
            </w:r>
          </w:p>
        </w:tc>
      </w:tr>
      <w:tr>
        <w:trPr>
          <w:trHeight w:val="209"/>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Parent’s ownership interest</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1,934,466</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rPr>
              <w:t>1,345,594</w:t>
            </w:r>
          </w:p>
        </w:tc>
      </w:tr>
      <w:tr>
        <w:trPr>
          <w:trHeight w:val="200"/>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Non-controlling interest</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(7,763)</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(8,392)</w:t>
            </w:r>
          </w:p>
        </w:tc>
      </w:tr>
      <w:tr>
        <w:trPr>
          <w:trHeight w:val="199"/>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equity</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1,926,703</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1,337,202</w:t>
            </w:r>
          </w:p>
        </w:tc>
      </w:tr>
      <w:tr>
        <w:trPr>
          <w:trHeight w:val="21"/>
        </w:trPr>
        <w:tc>
          <w:tcPr>
            <w:tcW w:w="7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195"/>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18,709,197</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17,640,891</w:t>
            </w:r>
          </w:p>
        </w:tc>
      </w:tr>
    </w:tbl>
    <w:p>
      <w:pPr>
        <w:spacing w:after="0" w:line="200" w:lineRule="exact"/>
        <w:rPr>
          <w:sz w:val="20"/>
          <w:szCs w:val="20"/>
          <w:color w:val="auto"/>
        </w:rPr>
      </w:pPr>
    </w:p>
    <w:p>
      <w:pPr>
        <w:sectPr>
          <w:pgSz w:w="11900" w:h="16838" w:orient="portrait"/>
          <w:cols w:equalWidth="0" w:num="1">
            <w:col w:w="11160"/>
          </w:cols>
          <w:pgMar w:left="320" w:top="322" w:right="41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7F7F7F"/>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5863590" cy="68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63590" cy="68580"/>
                    </a:xfrm>
                    <a:prstGeom prst="rect">
                      <a:avLst/>
                    </a:prstGeom>
                    <a:noFill/>
                  </pic:spPr>
                </pic:pic>
              </a:graphicData>
            </a:graphic>
          </wp:anchor>
        </w:drawing>
      </w:r>
    </w:p>
    <w:p>
      <w:pPr>
        <w:sectPr>
          <w:pgSz w:w="11900" w:h="16838" w:orient="portrait"/>
          <w:cols w:equalWidth="0" w:num="1">
            <w:col w:w="11160"/>
          </w:cols>
          <w:pgMar w:left="320" w:top="322" w:right="419" w:bottom="1440" w:gutter="0" w:footer="0" w:header="0"/>
          <w:type w:val="continuous"/>
        </w:sectPr>
      </w:pPr>
    </w:p>
    <w:bookmarkStart w:id="15" w:name="page16"/>
    <w:bookmarkEnd w:id="15"/>
    <w:p>
      <w:pPr>
        <w:ind w:left="140" w:right="10100"/>
        <w:spacing w:after="0" w:line="249" w:lineRule="auto"/>
        <w:rPr>
          <w:sz w:val="20"/>
          <w:szCs w:val="20"/>
          <w:color w:val="auto"/>
        </w:rPr>
      </w:pPr>
      <w:r>
        <w:rPr>
          <w:rFonts w:ascii="Arial" w:cs="Arial" w:eastAsia="Arial" w:hAnsi="Arial"/>
          <w:sz w:val="25"/>
          <w:szCs w:val="25"/>
          <w:i w:val="1"/>
          <w:i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5829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582930"/>
                    </a:xfrm>
                    <a:prstGeom prst="rect">
                      <a:avLst/>
                    </a:prstGeom>
                    <a:noFill/>
                  </pic:spPr>
                </pic:pic>
              </a:graphicData>
            </a:graphic>
          </wp:anchor>
        </w:drawing>
        <w:t>1Q 2026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LATAM Airlines Group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Cash Flow – Direct Method </w:t>
      </w:r>
      <w:r>
        <w:rPr>
          <w:rFonts w:ascii="Arial" w:cs="Arial" w:eastAsia="Arial" w:hAnsi="Arial"/>
          <w:sz w:val="18"/>
          <w:szCs w:val="18"/>
          <w:color w:val="auto"/>
        </w:rPr>
        <w:t>(in thousands of US Dollars)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20" w:type="dxa"/>
            <w:vAlign w:val="bottom"/>
            <w:shd w:val="clear" w:color="auto" w:fill="ED1650"/>
          </w:tcPr>
          <w:p>
            <w:pPr>
              <w:spacing w:after="0"/>
              <w:rPr>
                <w:sz w:val="17"/>
                <w:szCs w:val="17"/>
                <w:color w:val="auto"/>
              </w:rPr>
            </w:pPr>
          </w:p>
        </w:tc>
        <w:tc>
          <w:tcPr>
            <w:tcW w:w="1760" w:type="dxa"/>
            <w:vAlign w:val="bottom"/>
            <w:shd w:val="clear" w:color="auto" w:fill="ED1650"/>
          </w:tcPr>
          <w:p>
            <w:pPr>
              <w:ind w:left="380"/>
              <w:spacing w:after="0"/>
              <w:rPr>
                <w:sz w:val="20"/>
                <w:szCs w:val="20"/>
                <w:color w:val="auto"/>
              </w:rPr>
            </w:pPr>
            <w:r>
              <w:rPr>
                <w:rFonts w:ascii="Arial" w:cs="Arial" w:eastAsia="Arial" w:hAnsi="Arial"/>
                <w:sz w:val="14"/>
                <w:szCs w:val="14"/>
                <w:color w:val="FFFFFF"/>
              </w:rPr>
              <w:t>As of March 31,</w:t>
            </w:r>
          </w:p>
        </w:tc>
        <w:tc>
          <w:tcPr>
            <w:tcW w:w="1740" w:type="dxa"/>
            <w:vAlign w:val="bottom"/>
            <w:shd w:val="clear" w:color="auto" w:fill="ED1650"/>
          </w:tcPr>
          <w:p>
            <w:pPr>
              <w:ind w:left="360"/>
              <w:spacing w:after="0"/>
              <w:rPr>
                <w:sz w:val="20"/>
                <w:szCs w:val="20"/>
                <w:color w:val="auto"/>
              </w:rPr>
            </w:pPr>
            <w:r>
              <w:rPr>
                <w:rFonts w:ascii="Arial" w:cs="Arial" w:eastAsia="Arial" w:hAnsi="Arial"/>
                <w:sz w:val="14"/>
                <w:szCs w:val="14"/>
                <w:color w:val="FFFFFF"/>
              </w:rPr>
              <w:t>As of March 31,</w:t>
            </w:r>
          </w:p>
        </w:tc>
      </w:tr>
      <w:tr>
        <w:trPr>
          <w:trHeight w:val="203"/>
        </w:trPr>
        <w:tc>
          <w:tcPr>
            <w:tcW w:w="7720" w:type="dxa"/>
            <w:vAlign w:val="bottom"/>
            <w:shd w:val="clear" w:color="auto" w:fill="ED1650"/>
          </w:tcPr>
          <w:p>
            <w:pPr>
              <w:spacing w:after="0"/>
              <w:rPr>
                <w:sz w:val="17"/>
                <w:szCs w:val="17"/>
                <w:color w:val="auto"/>
              </w:rPr>
            </w:pPr>
          </w:p>
        </w:tc>
        <w:tc>
          <w:tcPr>
            <w:tcW w:w="1760" w:type="dxa"/>
            <w:vAlign w:val="bottom"/>
            <w:shd w:val="clear" w:color="auto" w:fill="ED1650"/>
          </w:tcPr>
          <w:p>
            <w:pPr>
              <w:jc w:val="center"/>
              <w:spacing w:after="0"/>
              <w:rPr>
                <w:sz w:val="20"/>
                <w:szCs w:val="20"/>
                <w:color w:val="auto"/>
              </w:rPr>
            </w:pPr>
            <w:r>
              <w:rPr>
                <w:rFonts w:ascii="Arial" w:cs="Arial" w:eastAsia="Arial" w:hAnsi="Arial"/>
                <w:sz w:val="14"/>
                <w:szCs w:val="14"/>
                <w:color w:val="FFFFFF"/>
              </w:rPr>
              <w:t>2026</w:t>
            </w:r>
          </w:p>
        </w:tc>
        <w:tc>
          <w:tcPr>
            <w:tcW w:w="1740" w:type="dxa"/>
            <w:vAlign w:val="bottom"/>
            <w:shd w:val="clear" w:color="auto" w:fill="ED1650"/>
          </w:tcPr>
          <w:p>
            <w:pPr>
              <w:jc w:val="center"/>
              <w:spacing w:after="0"/>
              <w:rPr>
                <w:sz w:val="20"/>
                <w:szCs w:val="20"/>
                <w:color w:val="auto"/>
              </w:rPr>
            </w:pPr>
            <w:r>
              <w:rPr>
                <w:rFonts w:ascii="Arial" w:cs="Arial" w:eastAsia="Arial" w:hAnsi="Arial"/>
                <w:sz w:val="14"/>
                <w:szCs w:val="14"/>
                <w:color w:val="FFFFFF"/>
              </w:rPr>
              <w:t>2025</w:t>
            </w:r>
          </w:p>
        </w:tc>
      </w:tr>
      <w:tr>
        <w:trPr>
          <w:trHeight w:val="308"/>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7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Cash collection from operating activities</w:t>
            </w:r>
          </w:p>
        </w:tc>
        <w:tc>
          <w:tcPr>
            <w:tcW w:w="17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7"/>
        </w:trPr>
        <w:tc>
          <w:tcPr>
            <w:tcW w:w="7720" w:type="dxa"/>
            <w:vAlign w:val="bottom"/>
          </w:tcPr>
          <w:p>
            <w:pPr>
              <w:ind w:left="20"/>
              <w:spacing w:after="0"/>
              <w:rPr>
                <w:sz w:val="20"/>
                <w:szCs w:val="20"/>
                <w:color w:val="auto"/>
              </w:rPr>
            </w:pPr>
            <w:r>
              <w:rPr>
                <w:rFonts w:ascii="Arial" w:cs="Arial" w:eastAsia="Arial" w:hAnsi="Arial"/>
                <w:sz w:val="14"/>
                <w:szCs w:val="14"/>
                <w:color w:val="auto"/>
              </w:rPr>
              <w:t>Proceeds from sales of goods and services</w:t>
            </w:r>
          </w:p>
        </w:tc>
        <w:tc>
          <w:tcPr>
            <w:tcW w:w="1760" w:type="dxa"/>
            <w:vAlign w:val="bottom"/>
          </w:tcPr>
          <w:p>
            <w:pPr>
              <w:jc w:val="center"/>
              <w:spacing w:after="0"/>
              <w:rPr>
                <w:sz w:val="20"/>
                <w:szCs w:val="20"/>
                <w:color w:val="auto"/>
              </w:rPr>
            </w:pPr>
            <w:r>
              <w:rPr>
                <w:rFonts w:ascii="Arial" w:cs="Arial" w:eastAsia="Arial" w:hAnsi="Arial"/>
                <w:sz w:val="14"/>
                <w:szCs w:val="14"/>
                <w:color w:val="auto"/>
              </w:rPr>
              <w:t>4,337,759</w:t>
            </w:r>
          </w:p>
        </w:tc>
        <w:tc>
          <w:tcPr>
            <w:tcW w:w="1740" w:type="dxa"/>
            <w:vAlign w:val="bottom"/>
          </w:tcPr>
          <w:p>
            <w:pPr>
              <w:jc w:val="center"/>
              <w:spacing w:after="0"/>
              <w:rPr>
                <w:sz w:val="20"/>
                <w:szCs w:val="20"/>
                <w:color w:val="auto"/>
              </w:rPr>
            </w:pPr>
            <w:r>
              <w:rPr>
                <w:rFonts w:ascii="Arial" w:cs="Arial" w:eastAsia="Arial" w:hAnsi="Arial"/>
                <w:sz w:val="14"/>
                <w:szCs w:val="14"/>
                <w:color w:val="auto"/>
              </w:rPr>
              <w:t>3,458,397</w:t>
            </w:r>
          </w:p>
        </w:tc>
      </w:tr>
      <w:tr>
        <w:trPr>
          <w:trHeight w:val="203"/>
        </w:trPr>
        <w:tc>
          <w:tcPr>
            <w:tcW w:w="7720" w:type="dxa"/>
            <w:vAlign w:val="bottom"/>
          </w:tcPr>
          <w:p>
            <w:pPr>
              <w:ind w:left="20"/>
              <w:spacing w:after="0"/>
              <w:rPr>
                <w:sz w:val="20"/>
                <w:szCs w:val="20"/>
                <w:color w:val="auto"/>
              </w:rPr>
            </w:pPr>
            <w:r>
              <w:rPr>
                <w:rFonts w:ascii="Arial" w:cs="Arial" w:eastAsia="Arial" w:hAnsi="Arial"/>
                <w:sz w:val="14"/>
                <w:szCs w:val="14"/>
                <w:color w:val="auto"/>
              </w:rPr>
              <w:t>Other cash receipts from operating activities</w:t>
            </w:r>
          </w:p>
        </w:tc>
        <w:tc>
          <w:tcPr>
            <w:tcW w:w="1760" w:type="dxa"/>
            <w:vAlign w:val="bottom"/>
          </w:tcPr>
          <w:p>
            <w:pPr>
              <w:jc w:val="center"/>
              <w:spacing w:after="0"/>
              <w:rPr>
                <w:sz w:val="20"/>
                <w:szCs w:val="20"/>
                <w:color w:val="auto"/>
              </w:rPr>
            </w:pPr>
            <w:r>
              <w:rPr>
                <w:rFonts w:ascii="Arial" w:cs="Arial" w:eastAsia="Arial" w:hAnsi="Arial"/>
                <w:sz w:val="14"/>
                <w:szCs w:val="14"/>
                <w:color w:val="auto"/>
              </w:rPr>
              <w:t>66,815</w:t>
            </w:r>
          </w:p>
        </w:tc>
        <w:tc>
          <w:tcPr>
            <w:tcW w:w="1740" w:type="dxa"/>
            <w:vAlign w:val="bottom"/>
          </w:tcPr>
          <w:p>
            <w:pPr>
              <w:jc w:val="center"/>
              <w:spacing w:after="0"/>
              <w:rPr>
                <w:sz w:val="20"/>
                <w:szCs w:val="20"/>
                <w:color w:val="auto"/>
              </w:rPr>
            </w:pPr>
            <w:r>
              <w:rPr>
                <w:rFonts w:ascii="Arial" w:cs="Arial" w:eastAsia="Arial" w:hAnsi="Arial"/>
                <w:sz w:val="14"/>
                <w:szCs w:val="14"/>
                <w:color w:val="auto"/>
              </w:rPr>
              <w:t>49,260</w:t>
            </w:r>
          </w:p>
        </w:tc>
      </w:tr>
      <w:tr>
        <w:trPr>
          <w:trHeight w:val="370"/>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Payments for operating activities</w:t>
            </w:r>
          </w:p>
        </w:tc>
        <w:tc>
          <w:tcPr>
            <w:tcW w:w="17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97"/>
        </w:trPr>
        <w:tc>
          <w:tcPr>
            <w:tcW w:w="7720" w:type="dxa"/>
            <w:vAlign w:val="bottom"/>
          </w:tcPr>
          <w:p>
            <w:pPr>
              <w:ind w:left="20"/>
              <w:spacing w:after="0"/>
              <w:rPr>
                <w:sz w:val="20"/>
                <w:szCs w:val="20"/>
                <w:color w:val="auto"/>
              </w:rPr>
            </w:pPr>
            <w:r>
              <w:rPr>
                <w:rFonts w:ascii="Arial" w:cs="Arial" w:eastAsia="Arial" w:hAnsi="Arial"/>
                <w:sz w:val="14"/>
                <w:szCs w:val="14"/>
                <w:color w:val="auto"/>
              </w:rPr>
              <w:t>Payments to suppliers for the supply goods and services</w:t>
            </w:r>
          </w:p>
        </w:tc>
        <w:tc>
          <w:tcPr>
            <w:tcW w:w="1760" w:type="dxa"/>
            <w:vAlign w:val="bottom"/>
          </w:tcPr>
          <w:p>
            <w:pPr>
              <w:jc w:val="center"/>
              <w:spacing w:after="0"/>
              <w:rPr>
                <w:sz w:val="20"/>
                <w:szCs w:val="20"/>
                <w:color w:val="auto"/>
              </w:rPr>
            </w:pPr>
            <w:r>
              <w:rPr>
                <w:rFonts w:ascii="Arial" w:cs="Arial" w:eastAsia="Arial" w:hAnsi="Arial"/>
                <w:sz w:val="14"/>
                <w:szCs w:val="14"/>
                <w:color w:val="auto"/>
              </w:rPr>
              <w:t>(2,622,467)</w:t>
            </w:r>
          </w:p>
        </w:tc>
        <w:tc>
          <w:tcPr>
            <w:tcW w:w="1740" w:type="dxa"/>
            <w:vAlign w:val="bottom"/>
          </w:tcPr>
          <w:p>
            <w:pPr>
              <w:jc w:val="center"/>
              <w:spacing w:after="0"/>
              <w:rPr>
                <w:sz w:val="20"/>
                <w:szCs w:val="20"/>
                <w:color w:val="auto"/>
              </w:rPr>
            </w:pPr>
            <w:r>
              <w:rPr>
                <w:rFonts w:ascii="Arial" w:cs="Arial" w:eastAsia="Arial" w:hAnsi="Arial"/>
                <w:sz w:val="14"/>
                <w:szCs w:val="14"/>
                <w:color w:val="auto"/>
              </w:rPr>
              <w:t>(2,205,100)</w:t>
            </w:r>
          </w:p>
        </w:tc>
      </w:tr>
      <w:tr>
        <w:trPr>
          <w:trHeight w:val="203"/>
        </w:trPr>
        <w:tc>
          <w:tcPr>
            <w:tcW w:w="7720" w:type="dxa"/>
            <w:vAlign w:val="bottom"/>
          </w:tcPr>
          <w:p>
            <w:pPr>
              <w:ind w:left="20"/>
              <w:spacing w:after="0"/>
              <w:rPr>
                <w:sz w:val="20"/>
                <w:szCs w:val="20"/>
                <w:color w:val="auto"/>
              </w:rPr>
            </w:pPr>
            <w:r>
              <w:rPr>
                <w:rFonts w:ascii="Arial" w:cs="Arial" w:eastAsia="Arial" w:hAnsi="Arial"/>
                <w:sz w:val="14"/>
                <w:szCs w:val="14"/>
                <w:color w:val="auto"/>
              </w:rPr>
              <w:t>Payments to and on behalf of employees</w:t>
            </w:r>
          </w:p>
        </w:tc>
        <w:tc>
          <w:tcPr>
            <w:tcW w:w="1760" w:type="dxa"/>
            <w:vAlign w:val="bottom"/>
          </w:tcPr>
          <w:p>
            <w:pPr>
              <w:jc w:val="center"/>
              <w:spacing w:after="0"/>
              <w:rPr>
                <w:sz w:val="20"/>
                <w:szCs w:val="20"/>
                <w:color w:val="auto"/>
              </w:rPr>
            </w:pPr>
            <w:r>
              <w:rPr>
                <w:rFonts w:ascii="Arial" w:cs="Arial" w:eastAsia="Arial" w:hAnsi="Arial"/>
                <w:sz w:val="14"/>
                <w:szCs w:val="14"/>
                <w:color w:val="auto"/>
              </w:rPr>
              <w:t>(661,012)</w:t>
            </w:r>
          </w:p>
        </w:tc>
        <w:tc>
          <w:tcPr>
            <w:tcW w:w="1740" w:type="dxa"/>
            <w:vAlign w:val="bottom"/>
          </w:tcPr>
          <w:p>
            <w:pPr>
              <w:jc w:val="center"/>
              <w:spacing w:after="0"/>
              <w:rPr>
                <w:sz w:val="20"/>
                <w:szCs w:val="20"/>
                <w:color w:val="auto"/>
              </w:rPr>
            </w:pPr>
            <w:r>
              <w:rPr>
                <w:rFonts w:ascii="Arial" w:cs="Arial" w:eastAsia="Arial" w:hAnsi="Arial"/>
                <w:sz w:val="14"/>
                <w:szCs w:val="14"/>
                <w:color w:val="auto"/>
              </w:rPr>
              <w:t>(473,786)</w:t>
            </w:r>
          </w:p>
        </w:tc>
      </w:tr>
      <w:tr>
        <w:trPr>
          <w:trHeight w:val="203"/>
        </w:trPr>
        <w:tc>
          <w:tcPr>
            <w:tcW w:w="7720" w:type="dxa"/>
            <w:vAlign w:val="bottom"/>
          </w:tcPr>
          <w:p>
            <w:pPr>
              <w:ind w:left="20"/>
              <w:spacing w:after="0"/>
              <w:rPr>
                <w:sz w:val="20"/>
                <w:szCs w:val="20"/>
                <w:color w:val="auto"/>
              </w:rPr>
            </w:pPr>
            <w:r>
              <w:rPr>
                <w:rFonts w:ascii="Arial" w:cs="Arial" w:eastAsia="Arial" w:hAnsi="Arial"/>
                <w:sz w:val="14"/>
                <w:szCs w:val="14"/>
                <w:color w:val="auto"/>
              </w:rPr>
              <w:t>Other payments for operating activities</w:t>
            </w:r>
          </w:p>
        </w:tc>
        <w:tc>
          <w:tcPr>
            <w:tcW w:w="1760" w:type="dxa"/>
            <w:vAlign w:val="bottom"/>
          </w:tcPr>
          <w:p>
            <w:pPr>
              <w:jc w:val="center"/>
              <w:spacing w:after="0"/>
              <w:rPr>
                <w:sz w:val="20"/>
                <w:szCs w:val="20"/>
                <w:color w:val="auto"/>
              </w:rPr>
            </w:pPr>
            <w:r>
              <w:rPr>
                <w:rFonts w:ascii="Arial" w:cs="Arial" w:eastAsia="Arial" w:hAnsi="Arial"/>
                <w:sz w:val="14"/>
                <w:szCs w:val="14"/>
                <w:color w:val="auto"/>
              </w:rPr>
              <w:t>(145,103)</w:t>
            </w:r>
          </w:p>
        </w:tc>
        <w:tc>
          <w:tcPr>
            <w:tcW w:w="1740" w:type="dxa"/>
            <w:vAlign w:val="bottom"/>
          </w:tcPr>
          <w:p>
            <w:pPr>
              <w:jc w:val="center"/>
              <w:spacing w:after="0"/>
              <w:rPr>
                <w:sz w:val="20"/>
                <w:szCs w:val="20"/>
                <w:color w:val="auto"/>
              </w:rPr>
            </w:pPr>
            <w:r>
              <w:rPr>
                <w:rFonts w:ascii="Arial" w:cs="Arial" w:eastAsia="Arial" w:hAnsi="Arial"/>
                <w:sz w:val="14"/>
                <w:szCs w:val="14"/>
                <w:color w:val="auto"/>
              </w:rPr>
              <w:t>(117,481)</w:t>
            </w:r>
          </w:p>
        </w:tc>
      </w:tr>
      <w:tr>
        <w:trPr>
          <w:trHeight w:val="203"/>
        </w:trPr>
        <w:tc>
          <w:tcPr>
            <w:tcW w:w="7720" w:type="dxa"/>
            <w:vAlign w:val="bottom"/>
          </w:tcPr>
          <w:p>
            <w:pPr>
              <w:ind w:left="20"/>
              <w:spacing w:after="0"/>
              <w:rPr>
                <w:sz w:val="20"/>
                <w:szCs w:val="20"/>
                <w:color w:val="auto"/>
              </w:rPr>
            </w:pPr>
            <w:r>
              <w:rPr>
                <w:rFonts w:ascii="Arial" w:cs="Arial" w:eastAsia="Arial" w:hAnsi="Arial"/>
                <w:sz w:val="14"/>
                <w:szCs w:val="14"/>
                <w:color w:val="auto"/>
              </w:rPr>
              <w:t>Income taxes (paid)</w:t>
            </w:r>
          </w:p>
        </w:tc>
        <w:tc>
          <w:tcPr>
            <w:tcW w:w="1760" w:type="dxa"/>
            <w:vAlign w:val="bottom"/>
          </w:tcPr>
          <w:p>
            <w:pPr>
              <w:jc w:val="center"/>
              <w:spacing w:after="0"/>
              <w:rPr>
                <w:sz w:val="20"/>
                <w:szCs w:val="20"/>
                <w:color w:val="auto"/>
              </w:rPr>
            </w:pPr>
            <w:r>
              <w:rPr>
                <w:rFonts w:ascii="Arial" w:cs="Arial" w:eastAsia="Arial" w:hAnsi="Arial"/>
                <w:sz w:val="14"/>
                <w:szCs w:val="14"/>
                <w:color w:val="auto"/>
              </w:rPr>
              <w:t>(53,407)</w:t>
            </w:r>
          </w:p>
        </w:tc>
        <w:tc>
          <w:tcPr>
            <w:tcW w:w="1740" w:type="dxa"/>
            <w:vAlign w:val="bottom"/>
          </w:tcPr>
          <w:p>
            <w:pPr>
              <w:jc w:val="center"/>
              <w:spacing w:after="0"/>
              <w:rPr>
                <w:sz w:val="20"/>
                <w:szCs w:val="20"/>
                <w:color w:val="auto"/>
              </w:rPr>
            </w:pPr>
            <w:r>
              <w:rPr>
                <w:rFonts w:ascii="Arial" w:cs="Arial" w:eastAsia="Arial" w:hAnsi="Arial"/>
                <w:sz w:val="14"/>
                <w:szCs w:val="14"/>
                <w:color w:val="auto"/>
              </w:rPr>
              <w:t>(21,993)</w:t>
            </w:r>
          </w:p>
        </w:tc>
      </w:tr>
      <w:tr>
        <w:trPr>
          <w:trHeight w:val="203"/>
        </w:trPr>
        <w:tc>
          <w:tcPr>
            <w:tcW w:w="7720" w:type="dxa"/>
            <w:vAlign w:val="bottom"/>
          </w:tcPr>
          <w:p>
            <w:pPr>
              <w:ind w:left="20"/>
              <w:spacing w:after="0"/>
              <w:rPr>
                <w:sz w:val="20"/>
                <w:szCs w:val="20"/>
                <w:color w:val="auto"/>
              </w:rPr>
            </w:pPr>
            <w:r>
              <w:rPr>
                <w:rFonts w:ascii="Arial" w:cs="Arial" w:eastAsia="Arial" w:hAnsi="Arial"/>
                <w:sz w:val="14"/>
                <w:szCs w:val="14"/>
                <w:color w:val="auto"/>
              </w:rPr>
              <w:t>Other cash inflows (outflows)</w:t>
            </w:r>
          </w:p>
        </w:tc>
        <w:tc>
          <w:tcPr>
            <w:tcW w:w="1760" w:type="dxa"/>
            <w:vAlign w:val="bottom"/>
          </w:tcPr>
          <w:p>
            <w:pPr>
              <w:jc w:val="center"/>
              <w:spacing w:after="0"/>
              <w:rPr>
                <w:sz w:val="20"/>
                <w:szCs w:val="20"/>
                <w:color w:val="auto"/>
              </w:rPr>
            </w:pPr>
            <w:r>
              <w:rPr>
                <w:rFonts w:ascii="Arial" w:cs="Arial" w:eastAsia="Arial" w:hAnsi="Arial"/>
                <w:sz w:val="14"/>
                <w:szCs w:val="14"/>
                <w:color w:val="auto"/>
              </w:rPr>
              <w:t>10,570</w:t>
            </w:r>
          </w:p>
        </w:tc>
        <w:tc>
          <w:tcPr>
            <w:tcW w:w="1740" w:type="dxa"/>
            <w:vAlign w:val="bottom"/>
          </w:tcPr>
          <w:p>
            <w:pPr>
              <w:jc w:val="center"/>
              <w:spacing w:after="0"/>
              <w:rPr>
                <w:sz w:val="20"/>
                <w:szCs w:val="20"/>
                <w:color w:val="auto"/>
              </w:rPr>
            </w:pPr>
            <w:r>
              <w:rPr>
                <w:rFonts w:ascii="Arial" w:cs="Arial" w:eastAsia="Arial" w:hAnsi="Arial"/>
                <w:sz w:val="14"/>
                <w:szCs w:val="14"/>
                <w:color w:val="auto"/>
              </w:rPr>
              <w:t>(10,952)</w:t>
            </w:r>
          </w:p>
        </w:tc>
      </w:tr>
      <w:tr>
        <w:trPr>
          <w:trHeight w:val="170"/>
        </w:trPr>
        <w:tc>
          <w:tcPr>
            <w:tcW w:w="77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203"/>
        </w:trPr>
        <w:tc>
          <w:tcPr>
            <w:tcW w:w="7720" w:type="dxa"/>
            <w:vAlign w:val="bottom"/>
            <w:shd w:val="clear" w:color="auto" w:fill="E5DFEC"/>
          </w:tcPr>
          <w:p>
            <w:pPr>
              <w:ind w:left="20"/>
              <w:spacing w:after="0"/>
              <w:rPr>
                <w:sz w:val="20"/>
                <w:szCs w:val="20"/>
                <w:color w:val="auto"/>
              </w:rPr>
            </w:pPr>
            <w:r>
              <w:rPr>
                <w:rFonts w:ascii="Arial" w:cs="Arial" w:eastAsia="Arial" w:hAnsi="Arial"/>
                <w:sz w:val="14"/>
                <w:szCs w:val="14"/>
                <w:b w:val="1"/>
                <w:bCs w:val="1"/>
                <w:color w:val="auto"/>
              </w:rPr>
              <w:t>Net cash (outflow) inflow from operating activities</w:t>
            </w:r>
          </w:p>
        </w:tc>
        <w:tc>
          <w:tcPr>
            <w:tcW w:w="1760" w:type="dxa"/>
            <w:vAlign w:val="bottom"/>
            <w:shd w:val="clear" w:color="auto" w:fill="E5DFEC"/>
          </w:tcPr>
          <w:p>
            <w:pPr>
              <w:jc w:val="center"/>
              <w:spacing w:after="0"/>
              <w:rPr>
                <w:sz w:val="20"/>
                <w:szCs w:val="20"/>
                <w:color w:val="auto"/>
              </w:rPr>
            </w:pPr>
            <w:r>
              <w:rPr>
                <w:rFonts w:ascii="Arial" w:cs="Arial" w:eastAsia="Arial" w:hAnsi="Arial"/>
                <w:sz w:val="14"/>
                <w:szCs w:val="14"/>
                <w:b w:val="1"/>
                <w:bCs w:val="1"/>
                <w:color w:val="auto"/>
              </w:rPr>
              <w:t>933,155</w:t>
            </w:r>
          </w:p>
        </w:tc>
        <w:tc>
          <w:tcPr>
            <w:tcW w:w="1740" w:type="dxa"/>
            <w:vAlign w:val="bottom"/>
            <w:shd w:val="clear" w:color="auto" w:fill="E5DFEC"/>
          </w:tcPr>
          <w:p>
            <w:pPr>
              <w:jc w:val="center"/>
              <w:spacing w:after="0"/>
              <w:rPr>
                <w:sz w:val="20"/>
                <w:szCs w:val="20"/>
                <w:color w:val="auto"/>
              </w:rPr>
            </w:pPr>
            <w:r>
              <w:rPr>
                <w:rFonts w:ascii="Arial" w:cs="Arial" w:eastAsia="Arial" w:hAnsi="Arial"/>
                <w:sz w:val="14"/>
                <w:szCs w:val="14"/>
                <w:b w:val="1"/>
                <w:bCs w:val="1"/>
                <w:color w:val="auto"/>
              </w:rPr>
              <w:t>678,345</w:t>
            </w:r>
          </w:p>
        </w:tc>
      </w:tr>
      <w:tr>
        <w:trPr>
          <w:trHeight w:val="362"/>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7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96"/>
        </w:trPr>
        <w:tc>
          <w:tcPr>
            <w:tcW w:w="7720" w:type="dxa"/>
            <w:vAlign w:val="bottom"/>
          </w:tcPr>
          <w:p>
            <w:pPr>
              <w:ind w:left="20"/>
              <w:spacing w:after="0"/>
              <w:rPr>
                <w:sz w:val="20"/>
                <w:szCs w:val="20"/>
                <w:color w:val="auto"/>
              </w:rPr>
            </w:pPr>
            <w:r>
              <w:rPr>
                <w:rFonts w:ascii="Arial" w:cs="Arial" w:eastAsia="Arial" w:hAnsi="Arial"/>
                <w:sz w:val="14"/>
                <w:szCs w:val="14"/>
                <w:color w:val="auto"/>
              </w:rPr>
              <w:t>Amounts raised from sale of property, plant and equipment</w:t>
            </w:r>
          </w:p>
        </w:tc>
        <w:tc>
          <w:tcPr>
            <w:tcW w:w="17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740" w:type="dxa"/>
            <w:vAlign w:val="bottom"/>
          </w:tcPr>
          <w:p>
            <w:pPr>
              <w:jc w:val="center"/>
              <w:spacing w:after="0"/>
              <w:rPr>
                <w:sz w:val="20"/>
                <w:szCs w:val="20"/>
                <w:color w:val="auto"/>
              </w:rPr>
            </w:pPr>
            <w:r>
              <w:rPr>
                <w:rFonts w:ascii="Arial" w:cs="Arial" w:eastAsia="Arial" w:hAnsi="Arial"/>
                <w:sz w:val="14"/>
                <w:szCs w:val="14"/>
                <w:color w:val="auto"/>
              </w:rPr>
              <w:t>27,031</w:t>
            </w:r>
          </w:p>
        </w:tc>
      </w:tr>
      <w:tr>
        <w:trPr>
          <w:trHeight w:val="203"/>
        </w:trPr>
        <w:tc>
          <w:tcPr>
            <w:tcW w:w="7720" w:type="dxa"/>
            <w:vAlign w:val="bottom"/>
          </w:tcPr>
          <w:p>
            <w:pPr>
              <w:ind w:left="20"/>
              <w:spacing w:after="0"/>
              <w:rPr>
                <w:sz w:val="20"/>
                <w:szCs w:val="20"/>
                <w:color w:val="auto"/>
              </w:rPr>
            </w:pPr>
            <w:r>
              <w:rPr>
                <w:rFonts w:ascii="Arial" w:cs="Arial" w:eastAsia="Arial" w:hAnsi="Arial"/>
                <w:sz w:val="14"/>
                <w:szCs w:val="14"/>
                <w:color w:val="auto"/>
              </w:rPr>
              <w:t>Purchases of property, plant and equipment</w:t>
            </w:r>
          </w:p>
        </w:tc>
        <w:tc>
          <w:tcPr>
            <w:tcW w:w="1760" w:type="dxa"/>
            <w:vAlign w:val="bottom"/>
          </w:tcPr>
          <w:p>
            <w:pPr>
              <w:jc w:val="center"/>
              <w:spacing w:after="0"/>
              <w:rPr>
                <w:sz w:val="20"/>
                <w:szCs w:val="20"/>
                <w:color w:val="auto"/>
              </w:rPr>
            </w:pPr>
            <w:r>
              <w:rPr>
                <w:rFonts w:ascii="Arial" w:cs="Arial" w:eastAsia="Arial" w:hAnsi="Arial"/>
                <w:sz w:val="14"/>
                <w:szCs w:val="14"/>
                <w:color w:val="auto"/>
              </w:rPr>
              <w:t>(319,981)</w:t>
            </w:r>
          </w:p>
        </w:tc>
        <w:tc>
          <w:tcPr>
            <w:tcW w:w="1740" w:type="dxa"/>
            <w:vAlign w:val="bottom"/>
          </w:tcPr>
          <w:p>
            <w:pPr>
              <w:jc w:val="center"/>
              <w:spacing w:after="0"/>
              <w:rPr>
                <w:sz w:val="20"/>
                <w:szCs w:val="20"/>
                <w:color w:val="auto"/>
              </w:rPr>
            </w:pPr>
            <w:r>
              <w:rPr>
                <w:rFonts w:ascii="Arial" w:cs="Arial" w:eastAsia="Arial" w:hAnsi="Arial"/>
                <w:sz w:val="14"/>
                <w:szCs w:val="14"/>
                <w:color w:val="auto"/>
              </w:rPr>
              <w:t>(370,271)</w:t>
            </w:r>
          </w:p>
        </w:tc>
      </w:tr>
      <w:tr>
        <w:trPr>
          <w:trHeight w:val="203"/>
        </w:trPr>
        <w:tc>
          <w:tcPr>
            <w:tcW w:w="7720" w:type="dxa"/>
            <w:vAlign w:val="bottom"/>
          </w:tcPr>
          <w:p>
            <w:pPr>
              <w:ind w:left="20"/>
              <w:spacing w:after="0"/>
              <w:rPr>
                <w:sz w:val="20"/>
                <w:szCs w:val="20"/>
                <w:color w:val="auto"/>
              </w:rPr>
            </w:pPr>
            <w:r>
              <w:rPr>
                <w:rFonts w:ascii="Arial" w:cs="Arial" w:eastAsia="Arial" w:hAnsi="Arial"/>
                <w:sz w:val="14"/>
                <w:szCs w:val="14"/>
                <w:color w:val="auto"/>
              </w:rPr>
              <w:t>Purchases of intangible assets</w:t>
            </w:r>
          </w:p>
        </w:tc>
        <w:tc>
          <w:tcPr>
            <w:tcW w:w="1760" w:type="dxa"/>
            <w:vAlign w:val="bottom"/>
          </w:tcPr>
          <w:p>
            <w:pPr>
              <w:jc w:val="center"/>
              <w:spacing w:after="0"/>
              <w:rPr>
                <w:sz w:val="20"/>
                <w:szCs w:val="20"/>
                <w:color w:val="auto"/>
              </w:rPr>
            </w:pPr>
            <w:r>
              <w:rPr>
                <w:rFonts w:ascii="Arial" w:cs="Arial" w:eastAsia="Arial" w:hAnsi="Arial"/>
                <w:sz w:val="14"/>
                <w:szCs w:val="14"/>
                <w:color w:val="auto"/>
              </w:rPr>
              <w:t>(25,038)</w:t>
            </w:r>
          </w:p>
        </w:tc>
        <w:tc>
          <w:tcPr>
            <w:tcW w:w="1740" w:type="dxa"/>
            <w:vAlign w:val="bottom"/>
          </w:tcPr>
          <w:p>
            <w:pPr>
              <w:jc w:val="center"/>
              <w:spacing w:after="0"/>
              <w:rPr>
                <w:sz w:val="20"/>
                <w:szCs w:val="20"/>
                <w:color w:val="auto"/>
              </w:rPr>
            </w:pPr>
            <w:r>
              <w:rPr>
                <w:rFonts w:ascii="Arial" w:cs="Arial" w:eastAsia="Arial" w:hAnsi="Arial"/>
                <w:sz w:val="14"/>
                <w:szCs w:val="14"/>
                <w:color w:val="auto"/>
              </w:rPr>
              <w:t>(25,105)</w:t>
            </w:r>
          </w:p>
        </w:tc>
      </w:tr>
      <w:tr>
        <w:trPr>
          <w:trHeight w:val="203"/>
        </w:trPr>
        <w:tc>
          <w:tcPr>
            <w:tcW w:w="7720" w:type="dxa"/>
            <w:vAlign w:val="bottom"/>
          </w:tcPr>
          <w:p>
            <w:pPr>
              <w:ind w:left="20"/>
              <w:spacing w:after="0"/>
              <w:rPr>
                <w:sz w:val="20"/>
                <w:szCs w:val="20"/>
                <w:color w:val="auto"/>
              </w:rPr>
            </w:pPr>
            <w:r>
              <w:rPr>
                <w:rFonts w:ascii="Arial" w:cs="Arial" w:eastAsia="Arial" w:hAnsi="Arial"/>
                <w:sz w:val="14"/>
                <w:szCs w:val="14"/>
                <w:color w:val="auto"/>
              </w:rPr>
              <w:t>Interest received</w:t>
            </w:r>
          </w:p>
        </w:tc>
        <w:tc>
          <w:tcPr>
            <w:tcW w:w="1760" w:type="dxa"/>
            <w:vAlign w:val="bottom"/>
          </w:tcPr>
          <w:p>
            <w:pPr>
              <w:jc w:val="center"/>
              <w:spacing w:after="0"/>
              <w:rPr>
                <w:sz w:val="20"/>
                <w:szCs w:val="20"/>
                <w:color w:val="auto"/>
              </w:rPr>
            </w:pPr>
            <w:r>
              <w:rPr>
                <w:rFonts w:ascii="Arial" w:cs="Arial" w:eastAsia="Arial" w:hAnsi="Arial"/>
                <w:sz w:val="14"/>
                <w:szCs w:val="14"/>
                <w:color w:val="auto"/>
              </w:rPr>
              <w:t>34,212</w:t>
            </w:r>
          </w:p>
        </w:tc>
        <w:tc>
          <w:tcPr>
            <w:tcW w:w="1740" w:type="dxa"/>
            <w:vAlign w:val="bottom"/>
          </w:tcPr>
          <w:p>
            <w:pPr>
              <w:jc w:val="center"/>
              <w:spacing w:after="0"/>
              <w:rPr>
                <w:sz w:val="20"/>
                <w:szCs w:val="20"/>
                <w:color w:val="auto"/>
              </w:rPr>
            </w:pPr>
            <w:r>
              <w:rPr>
                <w:rFonts w:ascii="Arial" w:cs="Arial" w:eastAsia="Arial" w:hAnsi="Arial"/>
                <w:sz w:val="14"/>
                <w:szCs w:val="14"/>
                <w:color w:val="auto"/>
              </w:rPr>
              <w:t>31,028</w:t>
            </w:r>
          </w:p>
        </w:tc>
      </w:tr>
      <w:tr>
        <w:trPr>
          <w:trHeight w:val="203"/>
        </w:trPr>
        <w:tc>
          <w:tcPr>
            <w:tcW w:w="7720" w:type="dxa"/>
            <w:vAlign w:val="bottom"/>
          </w:tcPr>
          <w:p>
            <w:pPr>
              <w:ind w:left="20"/>
              <w:spacing w:after="0"/>
              <w:rPr>
                <w:sz w:val="20"/>
                <w:szCs w:val="20"/>
                <w:color w:val="auto"/>
              </w:rPr>
            </w:pPr>
            <w:r>
              <w:rPr>
                <w:rFonts w:ascii="Arial" w:cs="Arial" w:eastAsia="Arial" w:hAnsi="Arial"/>
                <w:sz w:val="14"/>
                <w:szCs w:val="14"/>
                <w:color w:val="auto"/>
              </w:rPr>
              <w:t>Other cash inflows (outflows)</w:t>
            </w:r>
          </w:p>
        </w:tc>
        <w:tc>
          <w:tcPr>
            <w:tcW w:w="1760" w:type="dxa"/>
            <w:vAlign w:val="bottom"/>
          </w:tcPr>
          <w:p>
            <w:pPr>
              <w:jc w:val="center"/>
              <w:spacing w:after="0"/>
              <w:rPr>
                <w:sz w:val="20"/>
                <w:szCs w:val="20"/>
                <w:color w:val="auto"/>
              </w:rPr>
            </w:pPr>
            <w:r>
              <w:rPr>
                <w:rFonts w:ascii="Arial" w:cs="Arial" w:eastAsia="Arial" w:hAnsi="Arial"/>
                <w:sz w:val="14"/>
                <w:szCs w:val="14"/>
                <w:color w:val="auto"/>
              </w:rPr>
              <w:t>23,591</w:t>
            </w:r>
          </w:p>
        </w:tc>
        <w:tc>
          <w:tcPr>
            <w:tcW w:w="1740" w:type="dxa"/>
            <w:vAlign w:val="bottom"/>
          </w:tcPr>
          <w:p>
            <w:pPr>
              <w:jc w:val="center"/>
              <w:spacing w:after="0"/>
              <w:rPr>
                <w:sz w:val="20"/>
                <w:szCs w:val="20"/>
                <w:color w:val="auto"/>
              </w:rPr>
            </w:pPr>
            <w:r>
              <w:rPr>
                <w:rFonts w:ascii="Arial" w:cs="Arial" w:eastAsia="Arial" w:hAnsi="Arial"/>
                <w:sz w:val="14"/>
                <w:szCs w:val="14"/>
                <w:color w:val="auto"/>
              </w:rPr>
              <w:t>14,129</w:t>
            </w:r>
          </w:p>
        </w:tc>
      </w:tr>
      <w:tr>
        <w:trPr>
          <w:trHeight w:val="170"/>
        </w:trPr>
        <w:tc>
          <w:tcPr>
            <w:tcW w:w="77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203"/>
        </w:trPr>
        <w:tc>
          <w:tcPr>
            <w:tcW w:w="7720" w:type="dxa"/>
            <w:vAlign w:val="bottom"/>
            <w:shd w:val="clear" w:color="auto" w:fill="E5DFEC"/>
          </w:tcPr>
          <w:p>
            <w:pPr>
              <w:ind w:left="20"/>
              <w:spacing w:after="0"/>
              <w:rPr>
                <w:sz w:val="20"/>
                <w:szCs w:val="20"/>
                <w:color w:val="auto"/>
              </w:rPr>
            </w:pPr>
            <w:r>
              <w:rPr>
                <w:rFonts w:ascii="Arial" w:cs="Arial" w:eastAsia="Arial" w:hAnsi="Arial"/>
                <w:sz w:val="14"/>
                <w:szCs w:val="14"/>
                <w:b w:val="1"/>
                <w:bCs w:val="1"/>
                <w:color w:val="auto"/>
              </w:rPr>
              <w:t>Net cash (outflow) inflow from investing activities</w:t>
            </w:r>
          </w:p>
        </w:tc>
        <w:tc>
          <w:tcPr>
            <w:tcW w:w="1760" w:type="dxa"/>
            <w:vAlign w:val="bottom"/>
            <w:shd w:val="clear" w:color="auto" w:fill="E5DFEC"/>
          </w:tcPr>
          <w:p>
            <w:pPr>
              <w:jc w:val="center"/>
              <w:spacing w:after="0"/>
              <w:rPr>
                <w:sz w:val="20"/>
                <w:szCs w:val="20"/>
                <w:color w:val="auto"/>
              </w:rPr>
            </w:pPr>
            <w:r>
              <w:rPr>
                <w:rFonts w:ascii="Arial" w:cs="Arial" w:eastAsia="Arial" w:hAnsi="Arial"/>
                <w:sz w:val="14"/>
                <w:szCs w:val="14"/>
                <w:b w:val="1"/>
                <w:bCs w:val="1"/>
                <w:color w:val="auto"/>
              </w:rPr>
              <w:t>(287,216)</w:t>
            </w:r>
          </w:p>
        </w:tc>
        <w:tc>
          <w:tcPr>
            <w:tcW w:w="1740" w:type="dxa"/>
            <w:vAlign w:val="bottom"/>
            <w:shd w:val="clear" w:color="auto" w:fill="E5DFEC"/>
          </w:tcPr>
          <w:p>
            <w:pPr>
              <w:jc w:val="center"/>
              <w:spacing w:after="0"/>
              <w:rPr>
                <w:sz w:val="20"/>
                <w:szCs w:val="20"/>
                <w:color w:val="auto"/>
              </w:rPr>
            </w:pPr>
            <w:r>
              <w:rPr>
                <w:rFonts w:ascii="Arial" w:cs="Arial" w:eastAsia="Arial" w:hAnsi="Arial"/>
                <w:sz w:val="14"/>
                <w:szCs w:val="14"/>
                <w:b w:val="1"/>
                <w:bCs w:val="1"/>
                <w:color w:val="auto"/>
              </w:rPr>
              <w:t>(323,188)</w:t>
            </w:r>
          </w:p>
        </w:tc>
      </w:tr>
      <w:tr>
        <w:trPr>
          <w:trHeight w:val="363"/>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Cash flows inflow (out flow) from financing activities</w:t>
            </w:r>
          </w:p>
        </w:tc>
        <w:tc>
          <w:tcPr>
            <w:tcW w:w="17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96"/>
        </w:trPr>
        <w:tc>
          <w:tcPr>
            <w:tcW w:w="7720" w:type="dxa"/>
            <w:vAlign w:val="bottom"/>
          </w:tcPr>
          <w:p>
            <w:pPr>
              <w:ind w:left="20"/>
              <w:spacing w:after="0"/>
              <w:rPr>
                <w:sz w:val="20"/>
                <w:szCs w:val="20"/>
                <w:color w:val="auto"/>
              </w:rPr>
            </w:pPr>
            <w:r>
              <w:rPr>
                <w:rFonts w:ascii="Arial" w:cs="Arial" w:eastAsia="Arial" w:hAnsi="Arial"/>
                <w:sz w:val="14"/>
                <w:szCs w:val="14"/>
                <w:color w:val="auto"/>
              </w:rPr>
              <w:t>Amounts raised from long-term loans</w:t>
            </w:r>
          </w:p>
        </w:tc>
        <w:tc>
          <w:tcPr>
            <w:tcW w:w="1760" w:type="dxa"/>
            <w:vAlign w:val="bottom"/>
          </w:tcPr>
          <w:p>
            <w:pPr>
              <w:jc w:val="center"/>
              <w:spacing w:after="0"/>
              <w:rPr>
                <w:sz w:val="20"/>
                <w:szCs w:val="20"/>
                <w:color w:val="auto"/>
              </w:rPr>
            </w:pPr>
            <w:r>
              <w:rPr>
                <w:rFonts w:ascii="Arial" w:cs="Arial" w:eastAsia="Arial" w:hAnsi="Arial"/>
                <w:sz w:val="14"/>
                <w:szCs w:val="14"/>
                <w:color w:val="auto"/>
                <w:w w:val="98"/>
              </w:rPr>
              <w:t>114,000</w:t>
            </w:r>
          </w:p>
        </w:tc>
        <w:tc>
          <w:tcPr>
            <w:tcW w:w="1740" w:type="dxa"/>
            <w:vAlign w:val="bottom"/>
          </w:tcPr>
          <w:p>
            <w:pPr>
              <w:jc w:val="center"/>
              <w:spacing w:after="0"/>
              <w:rPr>
                <w:sz w:val="20"/>
                <w:szCs w:val="20"/>
                <w:color w:val="auto"/>
              </w:rPr>
            </w:pPr>
            <w:r>
              <w:rPr>
                <w:rFonts w:ascii="Arial" w:cs="Arial" w:eastAsia="Arial" w:hAnsi="Arial"/>
                <w:sz w:val="14"/>
                <w:szCs w:val="14"/>
                <w:color w:val="auto"/>
              </w:rPr>
              <w:t>49,500</w:t>
            </w:r>
          </w:p>
        </w:tc>
      </w:tr>
      <w:tr>
        <w:trPr>
          <w:trHeight w:val="203"/>
        </w:trPr>
        <w:tc>
          <w:tcPr>
            <w:tcW w:w="7720" w:type="dxa"/>
            <w:vAlign w:val="bottom"/>
          </w:tcPr>
          <w:p>
            <w:pPr>
              <w:ind w:left="20"/>
              <w:spacing w:after="0"/>
              <w:rPr>
                <w:sz w:val="20"/>
                <w:szCs w:val="20"/>
                <w:color w:val="auto"/>
              </w:rPr>
            </w:pPr>
            <w:r>
              <w:rPr>
                <w:rFonts w:ascii="Arial" w:cs="Arial" w:eastAsia="Arial" w:hAnsi="Arial"/>
                <w:sz w:val="14"/>
                <w:szCs w:val="14"/>
                <w:color w:val="auto"/>
              </w:rPr>
              <w:t>Loans repayments</w:t>
            </w:r>
          </w:p>
        </w:tc>
        <w:tc>
          <w:tcPr>
            <w:tcW w:w="1760" w:type="dxa"/>
            <w:vAlign w:val="bottom"/>
          </w:tcPr>
          <w:p>
            <w:pPr>
              <w:jc w:val="center"/>
              <w:spacing w:after="0"/>
              <w:rPr>
                <w:sz w:val="20"/>
                <w:szCs w:val="20"/>
                <w:color w:val="auto"/>
              </w:rPr>
            </w:pPr>
            <w:r>
              <w:rPr>
                <w:rFonts w:ascii="Arial" w:cs="Arial" w:eastAsia="Arial" w:hAnsi="Arial"/>
                <w:sz w:val="14"/>
                <w:szCs w:val="14"/>
                <w:color w:val="auto"/>
              </w:rPr>
              <w:t>(61,796)</w:t>
            </w:r>
          </w:p>
        </w:tc>
        <w:tc>
          <w:tcPr>
            <w:tcW w:w="1740" w:type="dxa"/>
            <w:vAlign w:val="bottom"/>
          </w:tcPr>
          <w:p>
            <w:pPr>
              <w:jc w:val="center"/>
              <w:spacing w:after="0"/>
              <w:rPr>
                <w:sz w:val="20"/>
                <w:szCs w:val="20"/>
                <w:color w:val="auto"/>
              </w:rPr>
            </w:pPr>
            <w:r>
              <w:rPr>
                <w:rFonts w:ascii="Arial" w:cs="Arial" w:eastAsia="Arial" w:hAnsi="Arial"/>
                <w:sz w:val="14"/>
                <w:szCs w:val="14"/>
                <w:color w:val="auto"/>
              </w:rPr>
              <w:t>(67,223)</w:t>
            </w:r>
          </w:p>
        </w:tc>
      </w:tr>
      <w:tr>
        <w:trPr>
          <w:trHeight w:val="203"/>
        </w:trPr>
        <w:tc>
          <w:tcPr>
            <w:tcW w:w="7720" w:type="dxa"/>
            <w:vAlign w:val="bottom"/>
          </w:tcPr>
          <w:p>
            <w:pPr>
              <w:ind w:left="20"/>
              <w:spacing w:after="0"/>
              <w:rPr>
                <w:sz w:val="20"/>
                <w:szCs w:val="20"/>
                <w:color w:val="auto"/>
              </w:rPr>
            </w:pPr>
            <w:r>
              <w:rPr>
                <w:rFonts w:ascii="Arial" w:cs="Arial" w:eastAsia="Arial" w:hAnsi="Arial"/>
                <w:sz w:val="14"/>
                <w:szCs w:val="14"/>
                <w:color w:val="auto"/>
              </w:rPr>
              <w:t>Payments of lease liabilities</w:t>
            </w:r>
          </w:p>
        </w:tc>
        <w:tc>
          <w:tcPr>
            <w:tcW w:w="1760" w:type="dxa"/>
            <w:vAlign w:val="bottom"/>
          </w:tcPr>
          <w:p>
            <w:pPr>
              <w:jc w:val="center"/>
              <w:spacing w:after="0"/>
              <w:rPr>
                <w:sz w:val="20"/>
                <w:szCs w:val="20"/>
                <w:color w:val="auto"/>
              </w:rPr>
            </w:pPr>
            <w:r>
              <w:rPr>
                <w:rFonts w:ascii="Arial" w:cs="Arial" w:eastAsia="Arial" w:hAnsi="Arial"/>
                <w:sz w:val="14"/>
                <w:szCs w:val="14"/>
                <w:color w:val="auto"/>
              </w:rPr>
              <w:t>(117,796)</w:t>
            </w:r>
          </w:p>
        </w:tc>
        <w:tc>
          <w:tcPr>
            <w:tcW w:w="1740" w:type="dxa"/>
            <w:vAlign w:val="bottom"/>
          </w:tcPr>
          <w:p>
            <w:pPr>
              <w:jc w:val="center"/>
              <w:spacing w:after="0"/>
              <w:rPr>
                <w:sz w:val="20"/>
                <w:szCs w:val="20"/>
                <w:color w:val="auto"/>
              </w:rPr>
            </w:pPr>
            <w:r>
              <w:rPr>
                <w:rFonts w:ascii="Arial" w:cs="Arial" w:eastAsia="Arial" w:hAnsi="Arial"/>
                <w:sz w:val="14"/>
                <w:szCs w:val="14"/>
                <w:color w:val="auto"/>
              </w:rPr>
              <w:t>(90,120)</w:t>
            </w:r>
          </w:p>
        </w:tc>
      </w:tr>
      <w:tr>
        <w:trPr>
          <w:trHeight w:val="203"/>
        </w:trPr>
        <w:tc>
          <w:tcPr>
            <w:tcW w:w="7720" w:type="dxa"/>
            <w:vAlign w:val="bottom"/>
          </w:tcPr>
          <w:p>
            <w:pPr>
              <w:ind w:left="20"/>
              <w:spacing w:after="0"/>
              <w:rPr>
                <w:sz w:val="20"/>
                <w:szCs w:val="20"/>
                <w:color w:val="auto"/>
              </w:rPr>
            </w:pPr>
            <w:r>
              <w:rPr>
                <w:rFonts w:ascii="Arial" w:cs="Arial" w:eastAsia="Arial" w:hAnsi="Arial"/>
                <w:sz w:val="14"/>
                <w:szCs w:val="14"/>
                <w:color w:val="auto"/>
              </w:rPr>
              <w:t>Dividends paid</w:t>
            </w:r>
          </w:p>
        </w:tc>
        <w:tc>
          <w:tcPr>
            <w:tcW w:w="1760" w:type="dxa"/>
            <w:vAlign w:val="bottom"/>
          </w:tcPr>
          <w:p>
            <w:pPr>
              <w:jc w:val="center"/>
              <w:spacing w:after="0"/>
              <w:rPr>
                <w:sz w:val="20"/>
                <w:szCs w:val="20"/>
                <w:color w:val="auto"/>
              </w:rPr>
            </w:pPr>
            <w:r>
              <w:rPr>
                <w:rFonts w:ascii="Arial" w:cs="Arial" w:eastAsia="Arial" w:hAnsi="Arial"/>
                <w:sz w:val="14"/>
                <w:szCs w:val="14"/>
                <w:color w:val="auto"/>
              </w:rPr>
              <w:t>(89,293)</w:t>
            </w:r>
          </w:p>
        </w:tc>
        <w:tc>
          <w:tcPr>
            <w:tcW w:w="1740" w:type="dxa"/>
            <w:vAlign w:val="bottom"/>
          </w:tcPr>
          <w:p>
            <w:pPr>
              <w:jc w:val="center"/>
              <w:spacing w:after="0"/>
              <w:rPr>
                <w:sz w:val="20"/>
                <w:szCs w:val="20"/>
                <w:color w:val="auto"/>
              </w:rPr>
            </w:pPr>
            <w:r>
              <w:rPr>
                <w:rFonts w:ascii="Arial" w:cs="Arial" w:eastAsia="Arial" w:hAnsi="Arial"/>
                <w:sz w:val="14"/>
                <w:szCs w:val="14"/>
                <w:color w:val="auto"/>
              </w:rPr>
              <w:t>(304)</w:t>
            </w:r>
          </w:p>
        </w:tc>
      </w:tr>
      <w:tr>
        <w:trPr>
          <w:trHeight w:val="203"/>
        </w:trPr>
        <w:tc>
          <w:tcPr>
            <w:tcW w:w="7720" w:type="dxa"/>
            <w:vAlign w:val="bottom"/>
          </w:tcPr>
          <w:p>
            <w:pPr>
              <w:ind w:left="20"/>
              <w:spacing w:after="0"/>
              <w:rPr>
                <w:sz w:val="20"/>
                <w:szCs w:val="20"/>
                <w:color w:val="auto"/>
              </w:rPr>
            </w:pPr>
            <w:r>
              <w:rPr>
                <w:rFonts w:ascii="Arial" w:cs="Arial" w:eastAsia="Arial" w:hAnsi="Arial"/>
                <w:sz w:val="14"/>
                <w:szCs w:val="14"/>
                <w:color w:val="auto"/>
              </w:rPr>
              <w:t>Interest paid</w:t>
            </w:r>
          </w:p>
        </w:tc>
        <w:tc>
          <w:tcPr>
            <w:tcW w:w="1760" w:type="dxa"/>
            <w:vAlign w:val="bottom"/>
          </w:tcPr>
          <w:p>
            <w:pPr>
              <w:jc w:val="center"/>
              <w:spacing w:after="0"/>
              <w:rPr>
                <w:sz w:val="20"/>
                <w:szCs w:val="20"/>
                <w:color w:val="auto"/>
              </w:rPr>
            </w:pPr>
            <w:r>
              <w:rPr>
                <w:rFonts w:ascii="Arial" w:cs="Arial" w:eastAsia="Arial" w:hAnsi="Arial"/>
                <w:sz w:val="14"/>
                <w:szCs w:val="14"/>
                <w:color w:val="auto"/>
              </w:rPr>
              <w:t>(132,681)</w:t>
            </w:r>
          </w:p>
        </w:tc>
        <w:tc>
          <w:tcPr>
            <w:tcW w:w="1740" w:type="dxa"/>
            <w:vAlign w:val="bottom"/>
          </w:tcPr>
          <w:p>
            <w:pPr>
              <w:jc w:val="center"/>
              <w:spacing w:after="0"/>
              <w:rPr>
                <w:sz w:val="20"/>
                <w:szCs w:val="20"/>
                <w:color w:val="auto"/>
              </w:rPr>
            </w:pPr>
            <w:r>
              <w:rPr>
                <w:rFonts w:ascii="Arial" w:cs="Arial" w:eastAsia="Arial" w:hAnsi="Arial"/>
                <w:sz w:val="14"/>
                <w:szCs w:val="14"/>
                <w:color w:val="auto"/>
              </w:rPr>
              <w:t>(90,669)</w:t>
            </w:r>
          </w:p>
        </w:tc>
      </w:tr>
      <w:tr>
        <w:trPr>
          <w:trHeight w:val="203"/>
        </w:trPr>
        <w:tc>
          <w:tcPr>
            <w:tcW w:w="7720" w:type="dxa"/>
            <w:vAlign w:val="bottom"/>
          </w:tcPr>
          <w:p>
            <w:pPr>
              <w:ind w:left="20"/>
              <w:spacing w:after="0"/>
              <w:rPr>
                <w:sz w:val="20"/>
                <w:szCs w:val="20"/>
                <w:color w:val="auto"/>
              </w:rPr>
            </w:pPr>
            <w:r>
              <w:rPr>
                <w:rFonts w:ascii="Arial" w:cs="Arial" w:eastAsia="Arial" w:hAnsi="Arial"/>
                <w:sz w:val="14"/>
                <w:szCs w:val="14"/>
                <w:color w:val="auto"/>
              </w:rPr>
              <w:t>Other cash (outflows) inflows</w:t>
            </w:r>
          </w:p>
        </w:tc>
        <w:tc>
          <w:tcPr>
            <w:tcW w:w="1760" w:type="dxa"/>
            <w:vAlign w:val="bottom"/>
          </w:tcPr>
          <w:p>
            <w:pPr>
              <w:jc w:val="center"/>
              <w:spacing w:after="0"/>
              <w:rPr>
                <w:sz w:val="20"/>
                <w:szCs w:val="20"/>
                <w:color w:val="auto"/>
              </w:rPr>
            </w:pPr>
            <w:r>
              <w:rPr>
                <w:rFonts w:ascii="Arial" w:cs="Arial" w:eastAsia="Arial" w:hAnsi="Arial"/>
                <w:sz w:val="14"/>
                <w:szCs w:val="14"/>
                <w:color w:val="auto"/>
                <w:w w:val="99"/>
              </w:rPr>
              <w:t>(3,118)</w:t>
            </w:r>
          </w:p>
        </w:tc>
        <w:tc>
          <w:tcPr>
            <w:tcW w:w="1740" w:type="dxa"/>
            <w:vAlign w:val="bottom"/>
          </w:tcPr>
          <w:p>
            <w:pPr>
              <w:jc w:val="center"/>
              <w:spacing w:after="0"/>
              <w:rPr>
                <w:sz w:val="20"/>
                <w:szCs w:val="20"/>
                <w:color w:val="auto"/>
              </w:rPr>
            </w:pPr>
            <w:r>
              <w:rPr>
                <w:rFonts w:ascii="Arial" w:cs="Arial" w:eastAsia="Arial" w:hAnsi="Arial"/>
                <w:sz w:val="14"/>
                <w:szCs w:val="14"/>
                <w:color w:val="auto"/>
              </w:rPr>
              <w:t>(880)</w:t>
            </w:r>
          </w:p>
        </w:tc>
      </w:tr>
      <w:tr>
        <w:trPr>
          <w:trHeight w:val="170"/>
        </w:trPr>
        <w:tc>
          <w:tcPr>
            <w:tcW w:w="77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203"/>
        </w:trPr>
        <w:tc>
          <w:tcPr>
            <w:tcW w:w="7720" w:type="dxa"/>
            <w:vAlign w:val="bottom"/>
            <w:shd w:val="clear" w:color="auto" w:fill="E5DFEC"/>
          </w:tcPr>
          <w:p>
            <w:pPr>
              <w:ind w:left="20"/>
              <w:spacing w:after="0"/>
              <w:rPr>
                <w:sz w:val="20"/>
                <w:szCs w:val="20"/>
                <w:color w:val="auto"/>
              </w:rPr>
            </w:pPr>
            <w:r>
              <w:rPr>
                <w:rFonts w:ascii="Arial" w:cs="Arial" w:eastAsia="Arial" w:hAnsi="Arial"/>
                <w:sz w:val="14"/>
                <w:szCs w:val="14"/>
                <w:b w:val="1"/>
                <w:bCs w:val="1"/>
                <w:color w:val="auto"/>
              </w:rPr>
              <w:t>Net cash inflow (outflow) from financing activities</w:t>
            </w:r>
          </w:p>
        </w:tc>
        <w:tc>
          <w:tcPr>
            <w:tcW w:w="1760" w:type="dxa"/>
            <w:vAlign w:val="bottom"/>
            <w:shd w:val="clear" w:color="auto" w:fill="E5DFEC"/>
          </w:tcPr>
          <w:p>
            <w:pPr>
              <w:jc w:val="center"/>
              <w:spacing w:after="0"/>
              <w:rPr>
                <w:sz w:val="20"/>
                <w:szCs w:val="20"/>
                <w:color w:val="auto"/>
              </w:rPr>
            </w:pPr>
            <w:r>
              <w:rPr>
                <w:rFonts w:ascii="Arial" w:cs="Arial" w:eastAsia="Arial" w:hAnsi="Arial"/>
                <w:sz w:val="14"/>
                <w:szCs w:val="14"/>
                <w:b w:val="1"/>
                <w:bCs w:val="1"/>
                <w:color w:val="auto"/>
              </w:rPr>
              <w:t>(290,684)</w:t>
            </w:r>
          </w:p>
        </w:tc>
        <w:tc>
          <w:tcPr>
            <w:tcW w:w="1740" w:type="dxa"/>
            <w:vAlign w:val="bottom"/>
            <w:shd w:val="clear" w:color="auto" w:fill="E5DFEC"/>
          </w:tcPr>
          <w:p>
            <w:pPr>
              <w:jc w:val="center"/>
              <w:spacing w:after="0"/>
              <w:rPr>
                <w:sz w:val="20"/>
                <w:szCs w:val="20"/>
                <w:color w:val="auto"/>
              </w:rPr>
            </w:pPr>
            <w:r>
              <w:rPr>
                <w:rFonts w:ascii="Arial" w:cs="Arial" w:eastAsia="Arial" w:hAnsi="Arial"/>
                <w:sz w:val="14"/>
                <w:szCs w:val="14"/>
                <w:b w:val="1"/>
                <w:bCs w:val="1"/>
                <w:color w:val="auto"/>
              </w:rPr>
              <w:t>(199,696)</w:t>
            </w:r>
          </w:p>
        </w:tc>
      </w:tr>
      <w:tr>
        <w:trPr>
          <w:trHeight w:val="356"/>
        </w:trPr>
        <w:tc>
          <w:tcPr>
            <w:tcW w:w="7720" w:type="dxa"/>
            <w:vAlign w:val="bottom"/>
          </w:tcPr>
          <w:p>
            <w:pPr>
              <w:ind w:left="20"/>
              <w:spacing w:after="0"/>
              <w:rPr>
                <w:sz w:val="20"/>
                <w:szCs w:val="20"/>
                <w:color w:val="auto"/>
              </w:rPr>
            </w:pPr>
            <w:r>
              <w:rPr>
                <w:rFonts w:ascii="Arial" w:cs="Arial" w:eastAsia="Arial" w:hAnsi="Arial"/>
                <w:sz w:val="14"/>
                <w:szCs w:val="14"/>
                <w:color w:val="auto"/>
              </w:rPr>
              <w:t>Net (decrease) increase in cash and cash equivalents before effect of exchanges rate change</w:t>
            </w:r>
          </w:p>
        </w:tc>
        <w:tc>
          <w:tcPr>
            <w:tcW w:w="1760" w:type="dxa"/>
            <w:vAlign w:val="bottom"/>
          </w:tcPr>
          <w:p>
            <w:pPr>
              <w:jc w:val="center"/>
              <w:spacing w:after="0"/>
              <w:rPr>
                <w:sz w:val="20"/>
                <w:szCs w:val="20"/>
                <w:color w:val="auto"/>
              </w:rPr>
            </w:pPr>
            <w:r>
              <w:rPr>
                <w:rFonts w:ascii="Arial" w:cs="Arial" w:eastAsia="Arial" w:hAnsi="Arial"/>
                <w:sz w:val="14"/>
                <w:szCs w:val="14"/>
                <w:color w:val="auto"/>
              </w:rPr>
              <w:t>355,255</w:t>
            </w:r>
          </w:p>
        </w:tc>
        <w:tc>
          <w:tcPr>
            <w:tcW w:w="1740" w:type="dxa"/>
            <w:vAlign w:val="bottom"/>
          </w:tcPr>
          <w:p>
            <w:pPr>
              <w:jc w:val="center"/>
              <w:spacing w:after="0"/>
              <w:rPr>
                <w:sz w:val="20"/>
                <w:szCs w:val="20"/>
                <w:color w:val="auto"/>
              </w:rPr>
            </w:pPr>
            <w:r>
              <w:rPr>
                <w:rFonts w:ascii="Arial" w:cs="Arial" w:eastAsia="Arial" w:hAnsi="Arial"/>
                <w:sz w:val="14"/>
                <w:szCs w:val="14"/>
                <w:color w:val="auto"/>
              </w:rPr>
              <w:t>155,461</w:t>
            </w:r>
          </w:p>
        </w:tc>
      </w:tr>
      <w:tr>
        <w:trPr>
          <w:trHeight w:val="206"/>
        </w:trPr>
        <w:tc>
          <w:tcPr>
            <w:tcW w:w="7720" w:type="dxa"/>
            <w:vAlign w:val="bottom"/>
          </w:tcPr>
          <w:p>
            <w:pPr>
              <w:ind w:left="20"/>
              <w:spacing w:after="0"/>
              <w:rPr>
                <w:sz w:val="20"/>
                <w:szCs w:val="20"/>
                <w:color w:val="auto"/>
              </w:rPr>
            </w:pPr>
            <w:r>
              <w:rPr>
                <w:rFonts w:ascii="Arial" w:cs="Arial" w:eastAsia="Arial" w:hAnsi="Arial"/>
                <w:sz w:val="14"/>
                <w:szCs w:val="14"/>
                <w:color w:val="auto"/>
              </w:rPr>
              <w:t>Effects of variation in the exchange rate on cash and cash equivalents</w:t>
            </w:r>
          </w:p>
        </w:tc>
        <w:tc>
          <w:tcPr>
            <w:tcW w:w="1760" w:type="dxa"/>
            <w:vAlign w:val="bottom"/>
          </w:tcPr>
          <w:p>
            <w:pPr>
              <w:jc w:val="center"/>
              <w:spacing w:after="0"/>
              <w:rPr>
                <w:sz w:val="20"/>
                <w:szCs w:val="20"/>
                <w:color w:val="auto"/>
              </w:rPr>
            </w:pPr>
            <w:r>
              <w:rPr>
                <w:rFonts w:ascii="Arial" w:cs="Arial" w:eastAsia="Arial" w:hAnsi="Arial"/>
                <w:sz w:val="14"/>
                <w:szCs w:val="14"/>
                <w:color w:val="auto"/>
              </w:rPr>
              <w:t>35,384</w:t>
            </w:r>
          </w:p>
        </w:tc>
        <w:tc>
          <w:tcPr>
            <w:tcW w:w="1740" w:type="dxa"/>
            <w:vAlign w:val="bottom"/>
          </w:tcPr>
          <w:p>
            <w:pPr>
              <w:jc w:val="center"/>
              <w:spacing w:after="0"/>
              <w:rPr>
                <w:sz w:val="20"/>
                <w:szCs w:val="20"/>
                <w:color w:val="auto"/>
              </w:rPr>
            </w:pPr>
            <w:r>
              <w:rPr>
                <w:rFonts w:ascii="Arial" w:cs="Arial" w:eastAsia="Arial" w:hAnsi="Arial"/>
                <w:sz w:val="14"/>
                <w:szCs w:val="14"/>
                <w:color w:val="auto"/>
              </w:rPr>
              <w:t>33,050</w:t>
            </w:r>
          </w:p>
        </w:tc>
      </w:tr>
      <w:tr>
        <w:trPr>
          <w:trHeight w:val="207"/>
        </w:trPr>
        <w:tc>
          <w:tcPr>
            <w:tcW w:w="7720" w:type="dxa"/>
            <w:vAlign w:val="bottom"/>
            <w:shd w:val="clear" w:color="auto" w:fill="E5DFEC"/>
          </w:tcPr>
          <w:p>
            <w:pPr>
              <w:ind w:left="20"/>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1760" w:type="dxa"/>
            <w:vAlign w:val="bottom"/>
            <w:shd w:val="clear" w:color="auto" w:fill="E5DFEC"/>
          </w:tcPr>
          <w:p>
            <w:pPr>
              <w:jc w:val="center"/>
              <w:spacing w:after="0"/>
              <w:rPr>
                <w:sz w:val="20"/>
                <w:szCs w:val="20"/>
                <w:color w:val="auto"/>
              </w:rPr>
            </w:pPr>
            <w:r>
              <w:rPr>
                <w:rFonts w:ascii="Arial" w:cs="Arial" w:eastAsia="Arial" w:hAnsi="Arial"/>
                <w:sz w:val="14"/>
                <w:szCs w:val="14"/>
                <w:b w:val="1"/>
                <w:bCs w:val="1"/>
                <w:color w:val="auto"/>
              </w:rPr>
              <w:t>390,639</w:t>
            </w:r>
          </w:p>
        </w:tc>
        <w:tc>
          <w:tcPr>
            <w:tcW w:w="1740" w:type="dxa"/>
            <w:vAlign w:val="bottom"/>
            <w:shd w:val="clear" w:color="auto" w:fill="E5DFEC"/>
          </w:tcPr>
          <w:p>
            <w:pPr>
              <w:jc w:val="center"/>
              <w:spacing w:after="0"/>
              <w:rPr>
                <w:sz w:val="20"/>
                <w:szCs w:val="20"/>
                <w:color w:val="auto"/>
              </w:rPr>
            </w:pPr>
            <w:r>
              <w:rPr>
                <w:rFonts w:ascii="Arial" w:cs="Arial" w:eastAsia="Arial" w:hAnsi="Arial"/>
                <w:sz w:val="14"/>
                <w:szCs w:val="14"/>
                <w:b w:val="1"/>
                <w:bCs w:val="1"/>
                <w:color w:val="auto"/>
                <w:w w:val="98"/>
              </w:rPr>
              <w:t>188,511</w:t>
            </w:r>
          </w:p>
        </w:tc>
      </w:tr>
      <w:tr>
        <w:trPr>
          <w:trHeight w:val="54"/>
        </w:trPr>
        <w:tc>
          <w:tcPr>
            <w:tcW w:w="77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03"/>
        </w:trPr>
        <w:tc>
          <w:tcPr>
            <w:tcW w:w="7720" w:type="dxa"/>
            <w:vAlign w:val="bottom"/>
            <w:shd w:val="clear" w:color="auto" w:fill="E5DFEC"/>
          </w:tcPr>
          <w:p>
            <w:pPr>
              <w:ind w:left="20"/>
              <w:spacing w:after="0"/>
              <w:rPr>
                <w:sz w:val="20"/>
                <w:szCs w:val="20"/>
                <w:color w:val="auto"/>
              </w:rPr>
            </w:pPr>
            <w:r>
              <w:rPr>
                <w:rFonts w:ascii="Arial" w:cs="Arial" w:eastAsia="Arial" w:hAnsi="Arial"/>
                <w:sz w:val="14"/>
                <w:szCs w:val="14"/>
                <w:b w:val="1"/>
                <w:bCs w:val="1"/>
                <w:color w:val="auto"/>
              </w:rPr>
              <w:t>CASH AND CASH EQUIVALENTS AT THE BEGINNING OF THE PERIOD</w:t>
            </w:r>
          </w:p>
        </w:tc>
        <w:tc>
          <w:tcPr>
            <w:tcW w:w="1760" w:type="dxa"/>
            <w:vAlign w:val="bottom"/>
            <w:shd w:val="clear" w:color="auto" w:fill="E5DFEC"/>
          </w:tcPr>
          <w:p>
            <w:pPr>
              <w:jc w:val="center"/>
              <w:spacing w:after="0"/>
              <w:rPr>
                <w:sz w:val="20"/>
                <w:szCs w:val="20"/>
                <w:color w:val="auto"/>
              </w:rPr>
            </w:pPr>
            <w:r>
              <w:rPr>
                <w:rFonts w:ascii="Arial" w:cs="Arial" w:eastAsia="Arial" w:hAnsi="Arial"/>
                <w:sz w:val="14"/>
                <w:szCs w:val="14"/>
                <w:b w:val="1"/>
                <w:bCs w:val="1"/>
                <w:color w:val="auto"/>
              </w:rPr>
              <w:t>2,150,113</w:t>
            </w:r>
          </w:p>
        </w:tc>
        <w:tc>
          <w:tcPr>
            <w:tcW w:w="1740" w:type="dxa"/>
            <w:vAlign w:val="bottom"/>
            <w:shd w:val="clear" w:color="auto" w:fill="E5DFEC"/>
          </w:tcPr>
          <w:p>
            <w:pPr>
              <w:jc w:val="center"/>
              <w:spacing w:after="0"/>
              <w:rPr>
                <w:sz w:val="20"/>
                <w:szCs w:val="20"/>
                <w:color w:val="auto"/>
              </w:rPr>
            </w:pPr>
            <w:r>
              <w:rPr>
                <w:rFonts w:ascii="Arial" w:cs="Arial" w:eastAsia="Arial" w:hAnsi="Arial"/>
                <w:sz w:val="14"/>
                <w:szCs w:val="14"/>
                <w:b w:val="1"/>
                <w:bCs w:val="1"/>
                <w:color w:val="auto"/>
              </w:rPr>
              <w:t>1,957,788</w:t>
            </w:r>
          </w:p>
        </w:tc>
      </w:tr>
      <w:tr>
        <w:trPr>
          <w:trHeight w:val="54"/>
        </w:trPr>
        <w:tc>
          <w:tcPr>
            <w:tcW w:w="77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03"/>
        </w:trPr>
        <w:tc>
          <w:tcPr>
            <w:tcW w:w="7720" w:type="dxa"/>
            <w:vAlign w:val="bottom"/>
            <w:shd w:val="clear" w:color="auto" w:fill="E5DFEC"/>
          </w:tcPr>
          <w:p>
            <w:pPr>
              <w:ind w:left="20"/>
              <w:spacing w:after="0"/>
              <w:rPr>
                <w:sz w:val="20"/>
                <w:szCs w:val="20"/>
                <w:color w:val="auto"/>
              </w:rPr>
            </w:pPr>
            <w:r>
              <w:rPr>
                <w:rFonts w:ascii="Arial" w:cs="Arial" w:eastAsia="Arial" w:hAnsi="Arial"/>
                <w:sz w:val="14"/>
                <w:szCs w:val="14"/>
                <w:b w:val="1"/>
                <w:bCs w:val="1"/>
                <w:color w:val="auto"/>
              </w:rPr>
              <w:t>CASH AND CASH EQUIVALENTS AT THE END OF THE PERIOD</w:t>
            </w:r>
          </w:p>
        </w:tc>
        <w:tc>
          <w:tcPr>
            <w:tcW w:w="1760" w:type="dxa"/>
            <w:vAlign w:val="bottom"/>
            <w:shd w:val="clear" w:color="auto" w:fill="E5DFEC"/>
          </w:tcPr>
          <w:p>
            <w:pPr>
              <w:jc w:val="center"/>
              <w:spacing w:after="0"/>
              <w:rPr>
                <w:sz w:val="20"/>
                <w:szCs w:val="20"/>
                <w:color w:val="auto"/>
              </w:rPr>
            </w:pPr>
            <w:r>
              <w:rPr>
                <w:rFonts w:ascii="Arial" w:cs="Arial" w:eastAsia="Arial" w:hAnsi="Arial"/>
                <w:sz w:val="14"/>
                <w:szCs w:val="14"/>
                <w:b w:val="1"/>
                <w:bCs w:val="1"/>
                <w:color w:val="auto"/>
              </w:rPr>
              <w:t>2,540,752</w:t>
            </w:r>
          </w:p>
        </w:tc>
        <w:tc>
          <w:tcPr>
            <w:tcW w:w="1740" w:type="dxa"/>
            <w:vAlign w:val="bottom"/>
            <w:shd w:val="clear" w:color="auto" w:fill="E5DFEC"/>
          </w:tcPr>
          <w:p>
            <w:pPr>
              <w:jc w:val="center"/>
              <w:spacing w:after="0"/>
              <w:rPr>
                <w:sz w:val="20"/>
                <w:szCs w:val="20"/>
                <w:color w:val="auto"/>
              </w:rPr>
            </w:pPr>
            <w:r>
              <w:rPr>
                <w:rFonts w:ascii="Arial" w:cs="Arial" w:eastAsia="Arial" w:hAnsi="Arial"/>
                <w:sz w:val="14"/>
                <w:szCs w:val="14"/>
                <w:b w:val="1"/>
                <w:bCs w:val="1"/>
                <w:color w:val="auto"/>
              </w:rPr>
              <w:t>2,146,299</w:t>
            </w:r>
          </w:p>
        </w:tc>
      </w:tr>
      <w:tr>
        <w:trPr>
          <w:trHeight w:val="937"/>
        </w:trPr>
        <w:tc>
          <w:tcPr>
            <w:tcW w:w="7720" w:type="dxa"/>
            <w:vAlign w:val="bottom"/>
          </w:tcPr>
          <w:p>
            <w:pPr>
              <w:spacing w:after="0"/>
              <w:rPr>
                <w:sz w:val="20"/>
                <w:szCs w:val="20"/>
                <w:color w:val="auto"/>
              </w:rPr>
            </w:pPr>
            <w:r>
              <w:rPr>
                <w:rFonts w:ascii="Arial" w:cs="Arial" w:eastAsia="Arial" w:hAnsi="Arial"/>
                <w:sz w:val="14"/>
                <w:szCs w:val="14"/>
                <w:color w:val="7F7F7F"/>
              </w:rPr>
              <w:t>13</w:t>
            </w:r>
          </w:p>
        </w:tc>
        <w:tc>
          <w:tcPr>
            <w:tcW w:w="176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5863590" cy="68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63590" cy="68580"/>
                    </a:xfrm>
                    <a:prstGeom prst="rect">
                      <a:avLst/>
                    </a:prstGeom>
                    <a:noFill/>
                  </pic:spPr>
                </pic:pic>
              </a:graphicData>
            </a:graphic>
          </wp:anchor>
        </w:drawing>
      </w:r>
    </w:p>
    <w:p>
      <w:pPr>
        <w:sectPr>
          <w:pgSz w:w="11900" w:h="16838" w:orient="portrait"/>
          <w:cols w:equalWidth="0" w:num="1">
            <w:col w:w="11220"/>
          </w:cols>
          <w:pgMar w:left="320" w:top="322" w:right="359" w:bottom="1440" w:gutter="0" w:footer="0" w:header="0"/>
        </w:sectPr>
      </w:pPr>
    </w:p>
    <w:bookmarkStart w:id="16" w:name="page17"/>
    <w:bookmarkEnd w:id="16"/>
    <w:p>
      <w:pPr>
        <w:ind w:left="140" w:right="10120"/>
        <w:spacing w:after="0" w:line="249" w:lineRule="auto"/>
        <w:rPr>
          <w:sz w:val="20"/>
          <w:szCs w:val="20"/>
          <w:color w:val="auto"/>
        </w:rPr>
      </w:pPr>
      <w:r>
        <w:rPr>
          <w:rFonts w:ascii="Arial" w:cs="Arial" w:eastAsia="Arial" w:hAnsi="Arial"/>
          <w:sz w:val="25"/>
          <w:szCs w:val="25"/>
          <w:i w:val="1"/>
          <w:i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5829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582930"/>
                    </a:xfrm>
                    <a:prstGeom prst="rect">
                      <a:avLst/>
                    </a:prstGeom>
                    <a:noFill/>
                  </pic:spPr>
                </pic:pic>
              </a:graphicData>
            </a:graphic>
          </wp:anchor>
        </w:drawing>
        <w:t>1Q 2026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LATAM Airlines Group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Adjusted Free Cash Flow </w:t>
      </w:r>
      <w:r>
        <w:rPr>
          <w:rFonts w:ascii="Arial" w:cs="Arial" w:eastAsia="Arial" w:hAnsi="Arial"/>
          <w:sz w:val="18"/>
          <w:szCs w:val="18"/>
          <w:color w:val="auto"/>
        </w:rPr>
        <w:t>(in thousands of US Dollars)</w:t>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440" w:type="dxa"/>
            <w:vAlign w:val="bottom"/>
            <w:vMerge w:val="restart"/>
            <w:shd w:val="clear" w:color="auto" w:fill="1B0088"/>
          </w:tcPr>
          <w:p>
            <w:pPr>
              <w:ind w:left="20"/>
              <w:spacing w:after="0"/>
              <w:rPr>
                <w:sz w:val="20"/>
                <w:szCs w:val="20"/>
                <w:color w:val="auto"/>
              </w:rPr>
            </w:pPr>
            <w:r>
              <w:rPr>
                <w:rFonts w:ascii="Arial" w:cs="Arial" w:eastAsia="Arial" w:hAnsi="Arial"/>
                <w:sz w:val="18"/>
                <w:szCs w:val="18"/>
                <w:b w:val="1"/>
                <w:bCs w:val="1"/>
                <w:color w:val="FFFFFF"/>
              </w:rPr>
              <w:t>Adjusted Free Cash Flow</w:t>
            </w:r>
          </w:p>
        </w:tc>
        <w:tc>
          <w:tcPr>
            <w:tcW w:w="5760" w:type="dxa"/>
            <w:vAlign w:val="bottom"/>
            <w:gridSpan w:val="2"/>
            <w:shd w:val="clear" w:color="auto" w:fill="1B0088"/>
          </w:tcPr>
          <w:p>
            <w:pPr>
              <w:ind w:left="1360"/>
              <w:spacing w:after="0"/>
              <w:rPr>
                <w:sz w:val="20"/>
                <w:szCs w:val="20"/>
                <w:color w:val="auto"/>
              </w:rPr>
            </w:pPr>
            <w:r>
              <w:rPr>
                <w:rFonts w:ascii="Arial" w:cs="Arial" w:eastAsia="Arial" w:hAnsi="Arial"/>
                <w:sz w:val="14"/>
                <w:szCs w:val="14"/>
                <w:color w:val="FFFFFF"/>
              </w:rPr>
              <w:t>For the three month period ended March 31</w:t>
            </w:r>
          </w:p>
        </w:tc>
        <w:tc>
          <w:tcPr>
            <w:tcW w:w="0" w:type="dxa"/>
            <w:vAlign w:val="bottom"/>
          </w:tcPr>
          <w:p>
            <w:pPr>
              <w:spacing w:after="0"/>
              <w:rPr>
                <w:sz w:val="1"/>
                <w:szCs w:val="1"/>
                <w:color w:val="auto"/>
              </w:rPr>
            </w:pPr>
          </w:p>
        </w:tc>
      </w:tr>
      <w:tr>
        <w:trPr>
          <w:trHeight w:val="126"/>
        </w:trPr>
        <w:tc>
          <w:tcPr>
            <w:tcW w:w="5440" w:type="dxa"/>
            <w:vAlign w:val="bottom"/>
            <w:vMerge w:val="continue"/>
            <w:shd w:val="clear" w:color="auto" w:fill="1B0088"/>
          </w:tcPr>
          <w:p>
            <w:pPr>
              <w:spacing w:after="0"/>
              <w:rPr>
                <w:sz w:val="10"/>
                <w:szCs w:val="10"/>
                <w:color w:val="auto"/>
              </w:rPr>
            </w:pPr>
          </w:p>
        </w:tc>
        <w:tc>
          <w:tcPr>
            <w:tcW w:w="2760" w:type="dxa"/>
            <w:vAlign w:val="bottom"/>
            <w:vMerge w:val="restart"/>
            <w:shd w:val="clear" w:color="auto" w:fill="1B0088"/>
          </w:tcPr>
          <w:p>
            <w:pPr>
              <w:jc w:val="center"/>
              <w:ind w:right="168"/>
              <w:spacing w:after="0"/>
              <w:rPr>
                <w:sz w:val="20"/>
                <w:szCs w:val="20"/>
                <w:color w:val="auto"/>
              </w:rPr>
            </w:pPr>
            <w:r>
              <w:rPr>
                <w:rFonts w:ascii="Arial" w:cs="Arial" w:eastAsia="Arial" w:hAnsi="Arial"/>
                <w:sz w:val="14"/>
                <w:szCs w:val="14"/>
                <w:color w:val="FFFFFF"/>
              </w:rPr>
              <w:t>2026</w:t>
            </w:r>
          </w:p>
        </w:tc>
        <w:tc>
          <w:tcPr>
            <w:tcW w:w="3000" w:type="dxa"/>
            <w:vAlign w:val="bottom"/>
            <w:vMerge w:val="restart"/>
            <w:shd w:val="clear" w:color="auto" w:fill="1B0088"/>
          </w:tcPr>
          <w:p>
            <w:pPr>
              <w:jc w:val="center"/>
              <w:spacing w:after="0"/>
              <w:rPr>
                <w:sz w:val="20"/>
                <w:szCs w:val="20"/>
                <w:color w:val="auto"/>
              </w:rPr>
            </w:pPr>
            <w:r>
              <w:rPr>
                <w:rFonts w:ascii="Arial" w:cs="Arial" w:eastAsia="Arial" w:hAnsi="Arial"/>
                <w:sz w:val="14"/>
                <w:szCs w:val="14"/>
                <w:color w:val="FFFFFF"/>
              </w:rPr>
              <w:t>2025</w:t>
            </w:r>
          </w:p>
        </w:tc>
        <w:tc>
          <w:tcPr>
            <w:tcW w:w="0" w:type="dxa"/>
            <w:vAlign w:val="bottom"/>
          </w:tcPr>
          <w:p>
            <w:pPr>
              <w:spacing w:after="0"/>
              <w:rPr>
                <w:sz w:val="1"/>
                <w:szCs w:val="1"/>
                <w:color w:val="auto"/>
              </w:rPr>
            </w:pPr>
          </w:p>
        </w:tc>
      </w:tr>
      <w:tr>
        <w:trPr>
          <w:trHeight w:val="76"/>
        </w:trPr>
        <w:tc>
          <w:tcPr>
            <w:tcW w:w="5440" w:type="dxa"/>
            <w:vAlign w:val="bottom"/>
            <w:tcBorders>
              <w:bottom w:val="single" w:sz="8" w:color="1B0088"/>
            </w:tcBorders>
            <w:shd w:val="clear" w:color="auto" w:fill="1B0088"/>
          </w:tcPr>
          <w:p>
            <w:pPr>
              <w:spacing w:after="0"/>
              <w:rPr>
                <w:sz w:val="6"/>
                <w:szCs w:val="6"/>
                <w:color w:val="auto"/>
              </w:rPr>
            </w:pPr>
          </w:p>
        </w:tc>
        <w:tc>
          <w:tcPr>
            <w:tcW w:w="2760" w:type="dxa"/>
            <w:vAlign w:val="bottom"/>
            <w:tcBorders>
              <w:bottom w:val="single" w:sz="8" w:color="1B0088"/>
            </w:tcBorders>
            <w:vMerge w:val="continue"/>
            <w:shd w:val="clear" w:color="auto" w:fill="1B0088"/>
          </w:tcPr>
          <w:p>
            <w:pPr>
              <w:spacing w:after="0"/>
              <w:rPr>
                <w:sz w:val="6"/>
                <w:szCs w:val="6"/>
                <w:color w:val="auto"/>
              </w:rPr>
            </w:pPr>
          </w:p>
        </w:tc>
        <w:tc>
          <w:tcPr>
            <w:tcW w:w="3000" w:type="dxa"/>
            <w:vAlign w:val="bottom"/>
            <w:tcBorders>
              <w:bottom w:val="single" w:sz="8" w:color="1B0088"/>
            </w:tcBorders>
            <w:vMerge w:val="continue"/>
            <w:shd w:val="clear" w:color="auto" w:fill="1B0088"/>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54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440" w:type="dxa"/>
            <w:vAlign w:val="bottom"/>
          </w:tcPr>
          <w:p>
            <w:pPr>
              <w:ind w:left="20"/>
              <w:spacing w:after="0"/>
              <w:rPr>
                <w:sz w:val="20"/>
                <w:szCs w:val="20"/>
                <w:color w:val="auto"/>
              </w:rPr>
            </w:pPr>
            <w:r>
              <w:rPr>
                <w:rFonts w:ascii="Arial" w:cs="Arial" w:eastAsia="Arial" w:hAnsi="Arial"/>
                <w:sz w:val="13"/>
                <w:szCs w:val="13"/>
                <w:b w:val="1"/>
                <w:bCs w:val="1"/>
                <w:color w:val="auto"/>
              </w:rPr>
              <w:t>Adjusted EBITDA</w:t>
            </w:r>
          </w:p>
        </w:tc>
        <w:tc>
          <w:tcPr>
            <w:tcW w:w="2760" w:type="dxa"/>
            <w:vAlign w:val="bottom"/>
          </w:tcPr>
          <w:p>
            <w:pPr>
              <w:jc w:val="center"/>
              <w:ind w:right="168"/>
              <w:spacing w:after="0"/>
              <w:rPr>
                <w:sz w:val="20"/>
                <w:szCs w:val="20"/>
                <w:color w:val="auto"/>
              </w:rPr>
            </w:pPr>
            <w:r>
              <w:rPr>
                <w:rFonts w:ascii="Arial" w:cs="Arial" w:eastAsia="Arial" w:hAnsi="Arial"/>
                <w:sz w:val="14"/>
                <w:szCs w:val="14"/>
                <w:b w:val="1"/>
                <w:bCs w:val="1"/>
                <w:color w:val="auto"/>
              </w:rPr>
              <w:t>1,314,779</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rPr>
              <w:t>962,133</w:t>
            </w:r>
          </w:p>
        </w:tc>
        <w:tc>
          <w:tcPr>
            <w:tcW w:w="0" w:type="dxa"/>
            <w:vAlign w:val="bottom"/>
          </w:tcPr>
          <w:p>
            <w:pPr>
              <w:spacing w:after="0"/>
              <w:rPr>
                <w:sz w:val="1"/>
                <w:szCs w:val="1"/>
                <w:color w:val="auto"/>
              </w:rPr>
            </w:pPr>
          </w:p>
        </w:tc>
      </w:tr>
      <w:tr>
        <w:trPr>
          <w:trHeight w:val="399"/>
        </w:trPr>
        <w:tc>
          <w:tcPr>
            <w:tcW w:w="5440" w:type="dxa"/>
            <w:vAlign w:val="bottom"/>
          </w:tcPr>
          <w:p>
            <w:pPr>
              <w:ind w:left="20"/>
              <w:spacing w:after="0"/>
              <w:rPr>
                <w:sz w:val="20"/>
                <w:szCs w:val="20"/>
                <w:color w:val="auto"/>
              </w:rPr>
            </w:pPr>
            <w:r>
              <w:rPr>
                <w:rFonts w:ascii="Arial" w:cs="Arial" w:eastAsia="Arial" w:hAnsi="Arial"/>
                <w:sz w:val="14"/>
                <w:szCs w:val="14"/>
                <w:color w:val="auto"/>
              </w:rPr>
              <w:t>Changes in working capital</w:t>
            </w:r>
          </w:p>
        </w:tc>
        <w:tc>
          <w:tcPr>
            <w:tcW w:w="2760" w:type="dxa"/>
            <w:vAlign w:val="bottom"/>
          </w:tcPr>
          <w:p>
            <w:pPr>
              <w:jc w:val="center"/>
              <w:ind w:right="188"/>
              <w:spacing w:after="0"/>
              <w:rPr>
                <w:sz w:val="20"/>
                <w:szCs w:val="20"/>
                <w:color w:val="auto"/>
              </w:rPr>
            </w:pPr>
            <w:r>
              <w:rPr>
                <w:rFonts w:ascii="Arial" w:cs="Arial" w:eastAsia="Arial" w:hAnsi="Arial"/>
                <w:sz w:val="14"/>
                <w:szCs w:val="14"/>
                <w:color w:val="auto"/>
              </w:rPr>
              <w:t>(245,138)</w:t>
            </w:r>
          </w:p>
        </w:tc>
        <w:tc>
          <w:tcPr>
            <w:tcW w:w="3000" w:type="dxa"/>
            <w:vAlign w:val="bottom"/>
          </w:tcPr>
          <w:p>
            <w:pPr>
              <w:jc w:val="center"/>
              <w:spacing w:after="0"/>
              <w:rPr>
                <w:sz w:val="20"/>
                <w:szCs w:val="20"/>
                <w:color w:val="auto"/>
              </w:rPr>
            </w:pPr>
            <w:r>
              <w:rPr>
                <w:rFonts w:ascii="Arial" w:cs="Arial" w:eastAsia="Arial" w:hAnsi="Arial"/>
                <w:sz w:val="14"/>
                <w:szCs w:val="14"/>
                <w:color w:val="auto"/>
              </w:rPr>
              <w:t>(229,489)</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Arial" w:cs="Arial" w:eastAsia="Arial" w:hAnsi="Arial"/>
                <w:sz w:val="14"/>
                <w:szCs w:val="14"/>
                <w:color w:val="auto"/>
              </w:rPr>
              <w:t>Cash taxes</w:t>
            </w:r>
          </w:p>
        </w:tc>
        <w:tc>
          <w:tcPr>
            <w:tcW w:w="2760" w:type="dxa"/>
            <w:vAlign w:val="bottom"/>
          </w:tcPr>
          <w:p>
            <w:pPr>
              <w:jc w:val="center"/>
              <w:ind w:right="188"/>
              <w:spacing w:after="0"/>
              <w:rPr>
                <w:sz w:val="20"/>
                <w:szCs w:val="20"/>
                <w:color w:val="auto"/>
              </w:rPr>
            </w:pPr>
            <w:r>
              <w:rPr>
                <w:rFonts w:ascii="Arial" w:cs="Arial" w:eastAsia="Arial" w:hAnsi="Arial"/>
                <w:sz w:val="14"/>
                <w:szCs w:val="14"/>
                <w:color w:val="auto"/>
              </w:rPr>
              <w:t>(53,407)</w:t>
            </w:r>
          </w:p>
        </w:tc>
        <w:tc>
          <w:tcPr>
            <w:tcW w:w="3000" w:type="dxa"/>
            <w:vAlign w:val="bottom"/>
          </w:tcPr>
          <w:p>
            <w:pPr>
              <w:jc w:val="center"/>
              <w:spacing w:after="0"/>
              <w:rPr>
                <w:sz w:val="20"/>
                <w:szCs w:val="20"/>
                <w:color w:val="auto"/>
              </w:rPr>
            </w:pPr>
            <w:r>
              <w:rPr>
                <w:rFonts w:ascii="Arial" w:cs="Arial" w:eastAsia="Arial" w:hAnsi="Arial"/>
                <w:sz w:val="14"/>
                <w:szCs w:val="14"/>
                <w:color w:val="auto"/>
                <w:w w:val="99"/>
              </w:rPr>
              <w:t>(21,993)</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Arial" w:cs="Arial" w:eastAsia="Arial" w:hAnsi="Arial"/>
                <w:sz w:val="14"/>
                <w:szCs w:val="14"/>
                <w:color w:val="auto"/>
              </w:rPr>
              <w:t>Operating lease payments</w:t>
            </w:r>
          </w:p>
        </w:tc>
        <w:tc>
          <w:tcPr>
            <w:tcW w:w="2760" w:type="dxa"/>
            <w:vAlign w:val="bottom"/>
          </w:tcPr>
          <w:p>
            <w:pPr>
              <w:jc w:val="center"/>
              <w:ind w:right="188"/>
              <w:spacing w:after="0"/>
              <w:rPr>
                <w:sz w:val="20"/>
                <w:szCs w:val="20"/>
                <w:color w:val="auto"/>
              </w:rPr>
            </w:pPr>
            <w:r>
              <w:rPr>
                <w:rFonts w:ascii="Arial" w:cs="Arial" w:eastAsia="Arial" w:hAnsi="Arial"/>
                <w:sz w:val="14"/>
                <w:szCs w:val="14"/>
                <w:color w:val="auto"/>
              </w:rPr>
              <w:t>(192,475)</w:t>
            </w:r>
          </w:p>
        </w:tc>
        <w:tc>
          <w:tcPr>
            <w:tcW w:w="3000" w:type="dxa"/>
            <w:vAlign w:val="bottom"/>
          </w:tcPr>
          <w:p>
            <w:pPr>
              <w:jc w:val="center"/>
              <w:spacing w:after="0"/>
              <w:rPr>
                <w:sz w:val="20"/>
                <w:szCs w:val="20"/>
                <w:color w:val="auto"/>
              </w:rPr>
            </w:pPr>
            <w:r>
              <w:rPr>
                <w:rFonts w:ascii="Arial" w:cs="Arial" w:eastAsia="Arial" w:hAnsi="Arial"/>
                <w:sz w:val="14"/>
                <w:szCs w:val="14"/>
                <w:color w:val="auto"/>
              </w:rPr>
              <w:t>(156,528)</w:t>
            </w:r>
          </w:p>
        </w:tc>
        <w:tc>
          <w:tcPr>
            <w:tcW w:w="0" w:type="dxa"/>
            <w:vAlign w:val="bottom"/>
          </w:tcPr>
          <w:p>
            <w:pPr>
              <w:spacing w:after="0"/>
              <w:rPr>
                <w:sz w:val="1"/>
                <w:szCs w:val="1"/>
                <w:color w:val="auto"/>
              </w:rPr>
            </w:pPr>
          </w:p>
        </w:tc>
      </w:tr>
      <w:tr>
        <w:trPr>
          <w:trHeight w:val="207"/>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Income</w:t>
            </w:r>
          </w:p>
        </w:tc>
        <w:tc>
          <w:tcPr>
            <w:tcW w:w="27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rPr>
              <w:t>34,212</w:t>
            </w: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31,028</w:t>
            </w: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Adj. Operating cash flow</w:t>
            </w:r>
          </w:p>
        </w:tc>
        <w:tc>
          <w:tcPr>
            <w:tcW w:w="2760" w:type="dxa"/>
            <w:vAlign w:val="bottom"/>
          </w:tcPr>
          <w:p>
            <w:pPr>
              <w:jc w:val="center"/>
              <w:ind w:right="168"/>
              <w:spacing w:after="0"/>
              <w:rPr>
                <w:sz w:val="20"/>
                <w:szCs w:val="20"/>
                <w:color w:val="auto"/>
              </w:rPr>
            </w:pPr>
            <w:r>
              <w:rPr>
                <w:rFonts w:ascii="Arial" w:cs="Arial" w:eastAsia="Arial" w:hAnsi="Arial"/>
                <w:sz w:val="14"/>
                <w:szCs w:val="14"/>
                <w:b w:val="1"/>
                <w:bCs w:val="1"/>
                <w:color w:val="auto"/>
              </w:rPr>
              <w:t>857,971</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rPr>
              <w:t>585,151</w:t>
            </w:r>
          </w:p>
        </w:tc>
        <w:tc>
          <w:tcPr>
            <w:tcW w:w="0" w:type="dxa"/>
            <w:vAlign w:val="bottom"/>
          </w:tcPr>
          <w:p>
            <w:pPr>
              <w:spacing w:after="0"/>
              <w:rPr>
                <w:sz w:val="1"/>
                <w:szCs w:val="1"/>
                <w:color w:val="auto"/>
              </w:rPr>
            </w:pPr>
          </w:p>
        </w:tc>
      </w:tr>
      <w:tr>
        <w:trPr>
          <w:trHeight w:val="399"/>
        </w:trPr>
        <w:tc>
          <w:tcPr>
            <w:tcW w:w="5440" w:type="dxa"/>
            <w:vAlign w:val="bottom"/>
          </w:tcPr>
          <w:p>
            <w:pPr>
              <w:ind w:left="20"/>
              <w:spacing w:after="0"/>
              <w:rPr>
                <w:sz w:val="20"/>
                <w:szCs w:val="20"/>
                <w:color w:val="auto"/>
              </w:rPr>
            </w:pPr>
            <w:r>
              <w:rPr>
                <w:rFonts w:ascii="Arial" w:cs="Arial" w:eastAsia="Arial" w:hAnsi="Arial"/>
                <w:sz w:val="14"/>
                <w:szCs w:val="14"/>
                <w:color w:val="auto"/>
              </w:rPr>
              <w:t>Maintenance CapEx</w:t>
            </w:r>
          </w:p>
        </w:tc>
        <w:tc>
          <w:tcPr>
            <w:tcW w:w="2760" w:type="dxa"/>
            <w:vAlign w:val="bottom"/>
          </w:tcPr>
          <w:p>
            <w:pPr>
              <w:jc w:val="center"/>
              <w:ind w:right="188"/>
              <w:spacing w:after="0"/>
              <w:rPr>
                <w:sz w:val="20"/>
                <w:szCs w:val="20"/>
                <w:color w:val="auto"/>
              </w:rPr>
            </w:pPr>
            <w:r>
              <w:rPr>
                <w:rFonts w:ascii="Arial" w:cs="Arial" w:eastAsia="Arial" w:hAnsi="Arial"/>
                <w:sz w:val="14"/>
                <w:szCs w:val="14"/>
                <w:color w:val="auto"/>
              </w:rPr>
              <w:t>(167,318)</w:t>
            </w:r>
          </w:p>
        </w:tc>
        <w:tc>
          <w:tcPr>
            <w:tcW w:w="3000" w:type="dxa"/>
            <w:vAlign w:val="bottom"/>
          </w:tcPr>
          <w:p>
            <w:pPr>
              <w:jc w:val="center"/>
              <w:spacing w:after="0"/>
              <w:rPr>
                <w:sz w:val="20"/>
                <w:szCs w:val="20"/>
                <w:color w:val="auto"/>
              </w:rPr>
            </w:pPr>
            <w:r>
              <w:rPr>
                <w:rFonts w:ascii="Arial" w:cs="Arial" w:eastAsia="Arial" w:hAnsi="Arial"/>
                <w:sz w:val="14"/>
                <w:szCs w:val="14"/>
                <w:color w:val="auto"/>
              </w:rPr>
              <w:t>(128,069)</w:t>
            </w:r>
          </w:p>
        </w:tc>
        <w:tc>
          <w:tcPr>
            <w:tcW w:w="0" w:type="dxa"/>
            <w:vAlign w:val="bottom"/>
          </w:tcPr>
          <w:p>
            <w:pPr>
              <w:spacing w:after="0"/>
              <w:rPr>
                <w:sz w:val="1"/>
                <w:szCs w:val="1"/>
                <w:color w:val="auto"/>
              </w:rPr>
            </w:pPr>
          </w:p>
        </w:tc>
      </w:tr>
      <w:tr>
        <w:trPr>
          <w:trHeight w:val="207"/>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CapEx for growth &amp; Fleet CapEx Net of Financing</w:t>
            </w:r>
          </w:p>
        </w:tc>
        <w:tc>
          <w:tcPr>
            <w:tcW w:w="27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color w:val="auto"/>
              </w:rPr>
              <w:t>(123,189)</w:t>
            </w: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(235,984)</w:t>
            </w: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Adj. Investment cash flow *</w:t>
            </w:r>
          </w:p>
        </w:tc>
        <w:tc>
          <w:tcPr>
            <w:tcW w:w="2760" w:type="dxa"/>
            <w:vAlign w:val="bottom"/>
          </w:tcPr>
          <w:p>
            <w:pPr>
              <w:jc w:val="center"/>
              <w:ind w:right="188"/>
              <w:spacing w:after="0"/>
              <w:rPr>
                <w:sz w:val="20"/>
                <w:szCs w:val="20"/>
                <w:color w:val="auto"/>
              </w:rPr>
            </w:pPr>
            <w:r>
              <w:rPr>
                <w:rFonts w:ascii="Arial" w:cs="Arial" w:eastAsia="Arial" w:hAnsi="Arial"/>
                <w:sz w:val="14"/>
                <w:szCs w:val="14"/>
                <w:b w:val="1"/>
                <w:bCs w:val="1"/>
                <w:color w:val="auto"/>
              </w:rPr>
              <w:t>(290,507)</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rPr>
              <w:t>(364,053)</w:t>
            </w:r>
          </w:p>
        </w:tc>
        <w:tc>
          <w:tcPr>
            <w:tcW w:w="0" w:type="dxa"/>
            <w:vAlign w:val="bottom"/>
          </w:tcPr>
          <w:p>
            <w:pPr>
              <w:spacing w:after="0"/>
              <w:rPr>
                <w:sz w:val="1"/>
                <w:szCs w:val="1"/>
                <w:color w:val="auto"/>
              </w:rPr>
            </w:pPr>
          </w:p>
        </w:tc>
      </w:tr>
      <w:tr>
        <w:trPr>
          <w:trHeight w:val="205"/>
        </w:trPr>
        <w:tc>
          <w:tcPr>
            <w:tcW w:w="54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Adj. Unlevered FCF</w:t>
            </w:r>
          </w:p>
        </w:tc>
        <w:tc>
          <w:tcPr>
            <w:tcW w:w="27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567,464</w:t>
            </w: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221,098</w:t>
            </w:r>
          </w:p>
        </w:tc>
        <w:tc>
          <w:tcPr>
            <w:tcW w:w="0" w:type="dxa"/>
            <w:vAlign w:val="bottom"/>
          </w:tcPr>
          <w:p>
            <w:pPr>
              <w:spacing w:after="0"/>
              <w:rPr>
                <w:sz w:val="1"/>
                <w:szCs w:val="1"/>
                <w:color w:val="auto"/>
              </w:rPr>
            </w:pPr>
          </w:p>
        </w:tc>
      </w:tr>
      <w:tr>
        <w:trPr>
          <w:trHeight w:val="189"/>
        </w:trPr>
        <w:tc>
          <w:tcPr>
            <w:tcW w:w="5440" w:type="dxa"/>
            <w:vAlign w:val="bottom"/>
          </w:tcPr>
          <w:p>
            <w:pPr>
              <w:ind w:left="20"/>
              <w:spacing w:after="0"/>
              <w:rPr>
                <w:sz w:val="20"/>
                <w:szCs w:val="20"/>
                <w:color w:val="auto"/>
              </w:rPr>
            </w:pPr>
            <w:r>
              <w:rPr>
                <w:rFonts w:ascii="Arial" w:cs="Arial" w:eastAsia="Arial" w:hAnsi="Arial"/>
                <w:sz w:val="14"/>
                <w:szCs w:val="14"/>
                <w:color w:val="auto"/>
              </w:rPr>
              <w:t>Interest on financial debt</w:t>
            </w:r>
          </w:p>
        </w:tc>
        <w:tc>
          <w:tcPr>
            <w:tcW w:w="2760" w:type="dxa"/>
            <w:vAlign w:val="bottom"/>
          </w:tcPr>
          <w:p>
            <w:pPr>
              <w:jc w:val="center"/>
              <w:ind w:right="188"/>
              <w:spacing w:after="0"/>
              <w:rPr>
                <w:sz w:val="20"/>
                <w:szCs w:val="20"/>
                <w:color w:val="auto"/>
              </w:rPr>
            </w:pPr>
            <w:r>
              <w:rPr>
                <w:rFonts w:ascii="Arial" w:cs="Arial" w:eastAsia="Arial" w:hAnsi="Arial"/>
                <w:sz w:val="14"/>
                <w:szCs w:val="14"/>
                <w:color w:val="auto"/>
              </w:rPr>
              <w:t>(37,899)</w:t>
            </w:r>
          </w:p>
        </w:tc>
        <w:tc>
          <w:tcPr>
            <w:tcW w:w="3000" w:type="dxa"/>
            <w:vAlign w:val="bottom"/>
          </w:tcPr>
          <w:p>
            <w:pPr>
              <w:jc w:val="center"/>
              <w:spacing w:after="0"/>
              <w:rPr>
                <w:sz w:val="20"/>
                <w:szCs w:val="20"/>
                <w:color w:val="auto"/>
              </w:rPr>
            </w:pPr>
            <w:r>
              <w:rPr>
                <w:rFonts w:ascii="Arial" w:cs="Arial" w:eastAsia="Arial" w:hAnsi="Arial"/>
                <w:sz w:val="14"/>
                <w:szCs w:val="14"/>
                <w:color w:val="auto"/>
                <w:w w:val="99"/>
              </w:rPr>
              <w:t>(7,906)</w:t>
            </w:r>
          </w:p>
        </w:tc>
        <w:tc>
          <w:tcPr>
            <w:tcW w:w="0" w:type="dxa"/>
            <w:vAlign w:val="bottom"/>
          </w:tcPr>
          <w:p>
            <w:pPr>
              <w:spacing w:after="0"/>
              <w:rPr>
                <w:sz w:val="1"/>
                <w:szCs w:val="1"/>
                <w:color w:val="auto"/>
              </w:rPr>
            </w:pPr>
          </w:p>
        </w:tc>
      </w:tr>
      <w:tr>
        <w:trPr>
          <w:trHeight w:val="206"/>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on finance leases</w:t>
            </w:r>
          </w:p>
        </w:tc>
        <w:tc>
          <w:tcPr>
            <w:tcW w:w="27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color w:val="auto"/>
              </w:rPr>
              <w:t>(20,103)</w:t>
            </w: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(16,355)</w:t>
            </w:r>
          </w:p>
        </w:tc>
        <w:tc>
          <w:tcPr>
            <w:tcW w:w="0" w:type="dxa"/>
            <w:vAlign w:val="bottom"/>
          </w:tcPr>
          <w:p>
            <w:pPr>
              <w:spacing w:after="0"/>
              <w:rPr>
                <w:sz w:val="1"/>
                <w:szCs w:val="1"/>
                <w:color w:val="auto"/>
              </w:rPr>
            </w:pPr>
          </w:p>
        </w:tc>
      </w:tr>
      <w:tr>
        <w:trPr>
          <w:trHeight w:val="199"/>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Adj. Levered FCF</w:t>
            </w:r>
          </w:p>
        </w:tc>
        <w:tc>
          <w:tcPr>
            <w:tcW w:w="27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509,462</w:t>
            </w: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196,837</w:t>
            </w:r>
          </w:p>
        </w:tc>
        <w:tc>
          <w:tcPr>
            <w:tcW w:w="0" w:type="dxa"/>
            <w:vAlign w:val="bottom"/>
          </w:tcPr>
          <w:p>
            <w:pPr>
              <w:spacing w:after="0"/>
              <w:rPr>
                <w:sz w:val="1"/>
                <w:szCs w:val="1"/>
                <w:color w:val="auto"/>
              </w:rPr>
            </w:pPr>
          </w:p>
        </w:tc>
      </w:tr>
      <w:tr>
        <w:trPr>
          <w:trHeight w:val="378"/>
        </w:trPr>
        <w:tc>
          <w:tcPr>
            <w:tcW w:w="5440" w:type="dxa"/>
            <w:vAlign w:val="bottom"/>
          </w:tcPr>
          <w:p>
            <w:pPr>
              <w:ind w:left="20"/>
              <w:spacing w:after="0"/>
              <w:rPr>
                <w:sz w:val="20"/>
                <w:szCs w:val="20"/>
                <w:color w:val="auto"/>
              </w:rPr>
            </w:pPr>
            <w:r>
              <w:rPr>
                <w:rFonts w:ascii="Arial" w:cs="Arial" w:eastAsia="Arial" w:hAnsi="Arial"/>
                <w:sz w:val="14"/>
                <w:szCs w:val="14"/>
                <w:color w:val="auto"/>
              </w:rPr>
              <w:t>Finance lease amortization</w:t>
            </w:r>
          </w:p>
        </w:tc>
        <w:tc>
          <w:tcPr>
            <w:tcW w:w="2760" w:type="dxa"/>
            <w:vAlign w:val="bottom"/>
          </w:tcPr>
          <w:p>
            <w:pPr>
              <w:jc w:val="center"/>
              <w:ind w:right="188"/>
              <w:spacing w:after="0"/>
              <w:rPr>
                <w:sz w:val="20"/>
                <w:szCs w:val="20"/>
                <w:color w:val="auto"/>
              </w:rPr>
            </w:pPr>
            <w:r>
              <w:rPr>
                <w:rFonts w:ascii="Arial" w:cs="Arial" w:eastAsia="Arial" w:hAnsi="Arial"/>
                <w:sz w:val="14"/>
                <w:szCs w:val="14"/>
                <w:color w:val="auto"/>
              </w:rPr>
              <w:t>(61,796)</w:t>
            </w:r>
          </w:p>
        </w:tc>
        <w:tc>
          <w:tcPr>
            <w:tcW w:w="3000" w:type="dxa"/>
            <w:vAlign w:val="bottom"/>
          </w:tcPr>
          <w:p>
            <w:pPr>
              <w:jc w:val="center"/>
              <w:spacing w:after="0"/>
              <w:rPr>
                <w:sz w:val="20"/>
                <w:szCs w:val="20"/>
                <w:color w:val="auto"/>
              </w:rPr>
            </w:pPr>
            <w:r>
              <w:rPr>
                <w:rFonts w:ascii="Arial" w:cs="Arial" w:eastAsia="Arial" w:hAnsi="Arial"/>
                <w:sz w:val="14"/>
                <w:szCs w:val="14"/>
                <w:color w:val="auto"/>
                <w:w w:val="99"/>
              </w:rPr>
              <w:t>(67,223)</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Arial" w:cs="Arial" w:eastAsia="Arial" w:hAnsi="Arial"/>
                <w:sz w:val="14"/>
                <w:szCs w:val="14"/>
                <w:color w:val="auto"/>
              </w:rPr>
              <w:t>Non-Fleet Financial debt net amortization</w:t>
            </w:r>
          </w:p>
        </w:tc>
        <w:tc>
          <w:tcPr>
            <w:tcW w:w="2760" w:type="dxa"/>
            <w:vAlign w:val="bottom"/>
          </w:tcPr>
          <w:p>
            <w:pPr>
              <w:jc w:val="center"/>
              <w:ind w:right="188"/>
              <w:spacing w:after="0"/>
              <w:rPr>
                <w:sz w:val="20"/>
                <w:szCs w:val="20"/>
                <w:color w:val="auto"/>
              </w:rPr>
            </w:pPr>
            <w:r>
              <w:rPr>
                <w:rFonts w:ascii="Arial" w:cs="Arial" w:eastAsia="Arial" w:hAnsi="Arial"/>
                <w:sz w:val="14"/>
                <w:szCs w:val="14"/>
                <w:color w:val="auto"/>
                <w:w w:val="99"/>
              </w:rPr>
              <w:t>—</w:t>
            </w:r>
          </w:p>
        </w:tc>
        <w:tc>
          <w:tcPr>
            <w:tcW w:w="3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Arial" w:cs="Arial" w:eastAsia="Arial" w:hAnsi="Arial"/>
                <w:sz w:val="14"/>
                <w:szCs w:val="14"/>
                <w:color w:val="auto"/>
              </w:rPr>
              <w:t>Dividends paid</w:t>
            </w:r>
          </w:p>
        </w:tc>
        <w:tc>
          <w:tcPr>
            <w:tcW w:w="2760" w:type="dxa"/>
            <w:vAlign w:val="bottom"/>
          </w:tcPr>
          <w:p>
            <w:pPr>
              <w:jc w:val="center"/>
              <w:ind w:right="188"/>
              <w:spacing w:after="0"/>
              <w:rPr>
                <w:sz w:val="20"/>
                <w:szCs w:val="20"/>
                <w:color w:val="auto"/>
              </w:rPr>
            </w:pPr>
            <w:r>
              <w:rPr>
                <w:rFonts w:ascii="Arial" w:cs="Arial" w:eastAsia="Arial" w:hAnsi="Arial"/>
                <w:sz w:val="14"/>
                <w:szCs w:val="14"/>
                <w:color w:val="auto"/>
              </w:rPr>
              <w:t>(89,293)</w:t>
            </w:r>
          </w:p>
        </w:tc>
        <w:tc>
          <w:tcPr>
            <w:tcW w:w="3000" w:type="dxa"/>
            <w:vAlign w:val="bottom"/>
          </w:tcPr>
          <w:p>
            <w:pPr>
              <w:jc w:val="center"/>
              <w:spacing w:after="0"/>
              <w:rPr>
                <w:sz w:val="20"/>
                <w:szCs w:val="20"/>
                <w:color w:val="auto"/>
              </w:rPr>
            </w:pPr>
            <w:r>
              <w:rPr>
                <w:rFonts w:ascii="Arial" w:cs="Arial" w:eastAsia="Arial" w:hAnsi="Arial"/>
                <w:sz w:val="14"/>
                <w:szCs w:val="14"/>
                <w:color w:val="auto"/>
                <w:w w:val="97"/>
              </w:rPr>
              <w:t>(304)</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Arial" w:cs="Arial" w:eastAsia="Arial" w:hAnsi="Arial"/>
                <w:sz w:val="14"/>
                <w:szCs w:val="14"/>
                <w:color w:val="auto"/>
              </w:rPr>
              <w:t>Other (Incl. Asset Sale, Fx and others)</w:t>
            </w:r>
          </w:p>
        </w:tc>
        <w:tc>
          <w:tcPr>
            <w:tcW w:w="2760" w:type="dxa"/>
            <w:vAlign w:val="bottom"/>
          </w:tcPr>
          <w:p>
            <w:pPr>
              <w:jc w:val="center"/>
              <w:ind w:right="168"/>
              <w:spacing w:after="0"/>
              <w:rPr>
                <w:sz w:val="20"/>
                <w:szCs w:val="20"/>
                <w:color w:val="auto"/>
              </w:rPr>
            </w:pPr>
            <w:r>
              <w:rPr>
                <w:rFonts w:ascii="Arial" w:cs="Arial" w:eastAsia="Arial" w:hAnsi="Arial"/>
                <w:sz w:val="14"/>
                <w:szCs w:val="14"/>
                <w:color w:val="auto"/>
              </w:rPr>
              <w:t>32,266</w:t>
            </w:r>
          </w:p>
        </w:tc>
        <w:tc>
          <w:tcPr>
            <w:tcW w:w="3000" w:type="dxa"/>
            <w:vAlign w:val="bottom"/>
          </w:tcPr>
          <w:p>
            <w:pPr>
              <w:jc w:val="center"/>
              <w:spacing w:after="0"/>
              <w:rPr>
                <w:sz w:val="20"/>
                <w:szCs w:val="20"/>
                <w:color w:val="auto"/>
              </w:rPr>
            </w:pPr>
            <w:r>
              <w:rPr>
                <w:rFonts w:ascii="Arial" w:cs="Arial" w:eastAsia="Arial" w:hAnsi="Arial"/>
                <w:sz w:val="14"/>
                <w:szCs w:val="14"/>
                <w:color w:val="auto"/>
              </w:rPr>
              <w:t>59,201</w:t>
            </w:r>
          </w:p>
        </w:tc>
        <w:tc>
          <w:tcPr>
            <w:tcW w:w="0" w:type="dxa"/>
            <w:vAlign w:val="bottom"/>
          </w:tcPr>
          <w:p>
            <w:pPr>
              <w:spacing w:after="0"/>
              <w:rPr>
                <w:sz w:val="1"/>
                <w:szCs w:val="1"/>
                <w:color w:val="auto"/>
              </w:rPr>
            </w:pPr>
          </w:p>
        </w:tc>
      </w:tr>
      <w:tr>
        <w:trPr>
          <w:trHeight w:val="206"/>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Share repurchases</w:t>
            </w:r>
          </w:p>
        </w:tc>
        <w:tc>
          <w:tcPr>
            <w:tcW w:w="27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color w:val="auto"/>
                <w:w w:val="99"/>
              </w:rPr>
              <w:t>—</w:t>
            </w: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Adj. Financing &amp; Others cash flow</w:t>
            </w:r>
          </w:p>
        </w:tc>
        <w:tc>
          <w:tcPr>
            <w:tcW w:w="27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(176,825)</w:t>
            </w: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(32,587)</w:t>
            </w:r>
          </w:p>
        </w:tc>
        <w:tc>
          <w:tcPr>
            <w:tcW w:w="0" w:type="dxa"/>
            <w:vAlign w:val="bottom"/>
          </w:tcPr>
          <w:p>
            <w:pPr>
              <w:spacing w:after="0"/>
              <w:rPr>
                <w:sz w:val="1"/>
                <w:szCs w:val="1"/>
                <w:color w:val="auto"/>
              </w:rPr>
            </w:pPr>
          </w:p>
        </w:tc>
      </w:tr>
      <w:tr>
        <w:trPr>
          <w:trHeight w:val="195"/>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Change in cash</w:t>
            </w:r>
          </w:p>
        </w:tc>
        <w:tc>
          <w:tcPr>
            <w:tcW w:w="2760" w:type="dxa"/>
            <w:vAlign w:val="bottom"/>
          </w:tcPr>
          <w:p>
            <w:pPr>
              <w:jc w:val="center"/>
              <w:ind w:right="168"/>
              <w:spacing w:after="0"/>
              <w:rPr>
                <w:sz w:val="20"/>
                <w:szCs w:val="20"/>
                <w:color w:val="auto"/>
              </w:rPr>
            </w:pPr>
            <w:r>
              <w:rPr>
                <w:rFonts w:ascii="Arial" w:cs="Arial" w:eastAsia="Arial" w:hAnsi="Arial"/>
                <w:sz w:val="14"/>
                <w:szCs w:val="14"/>
                <w:b w:val="1"/>
                <w:bCs w:val="1"/>
                <w:color w:val="auto"/>
              </w:rPr>
              <w:t>390,639</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rPr>
              <w:t>188,511</w:t>
            </w:r>
          </w:p>
        </w:tc>
        <w:tc>
          <w:tcPr>
            <w:tcW w:w="0" w:type="dxa"/>
            <w:vAlign w:val="bottom"/>
          </w:tcPr>
          <w:p>
            <w:pPr>
              <w:spacing w:after="0"/>
              <w:rPr>
                <w:sz w:val="1"/>
                <w:szCs w:val="1"/>
                <w:color w:val="auto"/>
              </w:rPr>
            </w:pPr>
          </w:p>
        </w:tc>
      </w:tr>
      <w:tr>
        <w:trPr>
          <w:trHeight w:val="204"/>
        </w:trPr>
        <w:tc>
          <w:tcPr>
            <w:tcW w:w="54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CASH AND CASH EQUIVALENTS AT BEGINNING OF THE PERIOD</w:t>
            </w:r>
          </w:p>
        </w:tc>
        <w:tc>
          <w:tcPr>
            <w:tcW w:w="27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9"/>
              </w:rPr>
              <w:t>2,150,113</w:t>
            </w: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1,957,788</w:t>
            </w:r>
          </w:p>
        </w:tc>
        <w:tc>
          <w:tcPr>
            <w:tcW w:w="0" w:type="dxa"/>
            <w:vAlign w:val="bottom"/>
          </w:tcPr>
          <w:p>
            <w:pPr>
              <w:spacing w:after="0"/>
              <w:rPr>
                <w:sz w:val="1"/>
                <w:szCs w:val="1"/>
                <w:color w:val="auto"/>
              </w:rPr>
            </w:pPr>
          </w:p>
        </w:tc>
      </w:tr>
      <w:tr>
        <w:trPr>
          <w:trHeight w:val="195"/>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AT END OF THE PERIOD</w:t>
            </w:r>
          </w:p>
        </w:tc>
        <w:tc>
          <w:tcPr>
            <w:tcW w:w="2760" w:type="dxa"/>
            <w:vAlign w:val="bottom"/>
          </w:tcPr>
          <w:p>
            <w:pPr>
              <w:jc w:val="center"/>
              <w:ind w:right="168"/>
              <w:spacing w:after="0"/>
              <w:rPr>
                <w:sz w:val="20"/>
                <w:szCs w:val="20"/>
                <w:color w:val="auto"/>
              </w:rPr>
            </w:pPr>
            <w:r>
              <w:rPr>
                <w:rFonts w:ascii="Arial" w:cs="Arial" w:eastAsia="Arial" w:hAnsi="Arial"/>
                <w:sz w:val="14"/>
                <w:szCs w:val="14"/>
                <w:b w:val="1"/>
                <w:bCs w:val="1"/>
                <w:color w:val="auto"/>
              </w:rPr>
              <w:t>2,540,752</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rPr>
              <w:t>2,146,299</w:t>
            </w:r>
          </w:p>
        </w:tc>
        <w:tc>
          <w:tcPr>
            <w:tcW w:w="0" w:type="dxa"/>
            <w:vAlign w:val="bottom"/>
          </w:tcPr>
          <w:p>
            <w:pPr>
              <w:spacing w:after="0"/>
              <w:rPr>
                <w:sz w:val="1"/>
                <w:szCs w:val="1"/>
                <w:color w:val="auto"/>
              </w:rPr>
            </w:pPr>
          </w:p>
        </w:tc>
      </w:tr>
      <w:tr>
        <w:trPr>
          <w:trHeight w:val="399"/>
        </w:trPr>
        <w:tc>
          <w:tcPr>
            <w:tcW w:w="5440" w:type="dxa"/>
            <w:vAlign w:val="bottom"/>
          </w:tcPr>
          <w:p>
            <w:pPr>
              <w:ind w:left="20"/>
              <w:spacing w:after="0"/>
              <w:rPr>
                <w:sz w:val="20"/>
                <w:szCs w:val="20"/>
                <w:color w:val="auto"/>
              </w:rPr>
            </w:pPr>
            <w:r>
              <w:rPr>
                <w:rFonts w:ascii="Arial" w:cs="Arial" w:eastAsia="Arial" w:hAnsi="Arial"/>
                <w:sz w:val="14"/>
                <w:szCs w:val="14"/>
                <w:color w:val="auto"/>
              </w:rPr>
              <w:t>Fleet Cash Cost</w:t>
            </w:r>
          </w:p>
        </w:tc>
        <w:tc>
          <w:tcPr>
            <w:tcW w:w="2760" w:type="dxa"/>
            <w:vAlign w:val="bottom"/>
          </w:tcPr>
          <w:p>
            <w:pPr>
              <w:jc w:val="center"/>
              <w:ind w:right="188"/>
              <w:spacing w:after="0"/>
              <w:rPr>
                <w:sz w:val="20"/>
                <w:szCs w:val="20"/>
                <w:color w:val="auto"/>
              </w:rPr>
            </w:pPr>
            <w:r>
              <w:rPr>
                <w:rFonts w:ascii="Arial" w:cs="Arial" w:eastAsia="Arial" w:hAnsi="Arial"/>
                <w:sz w:val="14"/>
                <w:szCs w:val="14"/>
                <w:color w:val="auto"/>
              </w:rPr>
              <w:t>(261,879)</w:t>
            </w:r>
          </w:p>
        </w:tc>
        <w:tc>
          <w:tcPr>
            <w:tcW w:w="3000" w:type="dxa"/>
            <w:vAlign w:val="bottom"/>
          </w:tcPr>
          <w:p>
            <w:pPr>
              <w:jc w:val="center"/>
              <w:spacing w:after="0"/>
              <w:rPr>
                <w:sz w:val="20"/>
                <w:szCs w:val="20"/>
                <w:color w:val="auto"/>
              </w:rPr>
            </w:pPr>
            <w:r>
              <w:rPr>
                <w:rFonts w:ascii="Arial" w:cs="Arial" w:eastAsia="Arial" w:hAnsi="Arial"/>
                <w:sz w:val="14"/>
                <w:szCs w:val="14"/>
                <w:color w:val="auto"/>
              </w:rPr>
              <w:t>(230,001)</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6D6D6D"/>
        </w:rPr>
        <w:t>*Adjusted Investment cash flow is equivalent to total CapEx net of financing. A reconciliation table can be found on page 18.</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6D6D6D"/>
        </w:rPr>
        <w:t>Notes:</w:t>
      </w:r>
    </w:p>
    <w:p>
      <w:pPr>
        <w:spacing w:after="0" w:line="244" w:lineRule="exact"/>
        <w:rPr>
          <w:sz w:val="20"/>
          <w:szCs w:val="20"/>
          <w:color w:val="auto"/>
        </w:rPr>
      </w:pPr>
    </w:p>
    <w:p>
      <w:pPr>
        <w:ind w:right="460" w:firstLine="8"/>
        <w:spacing w:after="0" w:line="272" w:lineRule="auto"/>
        <w:tabs>
          <w:tab w:leader="none" w:pos="168" w:val="left"/>
        </w:tabs>
        <w:numPr>
          <w:ilvl w:val="0"/>
          <w:numId w:val="9"/>
        </w:numPr>
        <w:rPr>
          <w:rFonts w:ascii="Arial" w:cs="Arial" w:eastAsia="Arial" w:hAnsi="Arial"/>
          <w:sz w:val="14"/>
          <w:szCs w:val="14"/>
          <w:color w:val="6D6D6D"/>
        </w:rPr>
      </w:pPr>
      <w:r>
        <w:rPr>
          <w:rFonts w:ascii="Arial" w:cs="Arial" w:eastAsia="Arial" w:hAnsi="Arial"/>
          <w:sz w:val="14"/>
          <w:szCs w:val="14"/>
          <w:color w:val="6D6D6D"/>
        </w:rPr>
        <w:t>Adjusted EBITDA includes adjustments to add back the effect of other gains and losses, employee compensation associated with the Corporate Incentive Plan, foreign exchange gains and results of indexation units.</w:t>
      </w:r>
    </w:p>
    <w:p>
      <w:pPr>
        <w:ind w:left="180" w:hanging="172"/>
        <w:spacing w:after="0"/>
        <w:tabs>
          <w:tab w:leader="none" w:pos="180" w:val="left"/>
        </w:tabs>
        <w:numPr>
          <w:ilvl w:val="0"/>
          <w:numId w:val="9"/>
        </w:numPr>
        <w:rPr>
          <w:rFonts w:ascii="Arial" w:cs="Arial" w:eastAsia="Arial" w:hAnsi="Arial"/>
          <w:sz w:val="14"/>
          <w:szCs w:val="14"/>
          <w:color w:val="6D6D6D"/>
        </w:rPr>
      </w:pPr>
      <w:r>
        <w:rPr>
          <w:rFonts w:ascii="Arial" w:cs="Arial" w:eastAsia="Arial" w:hAnsi="Arial"/>
          <w:sz w:val="14"/>
          <w:szCs w:val="14"/>
          <w:color w:val="6D6D6D"/>
        </w:rPr>
        <w:t>Operating lease payments include and Operational Leases under IFRS 16 including amortization and interest (both fleet and non-fleet).</w:t>
      </w:r>
    </w:p>
    <w:p>
      <w:pPr>
        <w:spacing w:after="0" w:line="14" w:lineRule="exact"/>
        <w:rPr>
          <w:rFonts w:ascii="Arial" w:cs="Arial" w:eastAsia="Arial" w:hAnsi="Arial"/>
          <w:sz w:val="14"/>
          <w:szCs w:val="14"/>
          <w:color w:val="6D6D6D"/>
        </w:rPr>
      </w:pPr>
    </w:p>
    <w:p>
      <w:pPr>
        <w:ind w:right="20" w:firstLine="8"/>
        <w:spacing w:after="0" w:line="251" w:lineRule="auto"/>
        <w:tabs>
          <w:tab w:leader="none" w:pos="171" w:val="left"/>
        </w:tabs>
        <w:numPr>
          <w:ilvl w:val="0"/>
          <w:numId w:val="9"/>
        </w:numPr>
        <w:rPr>
          <w:rFonts w:ascii="Arial" w:cs="Arial" w:eastAsia="Arial" w:hAnsi="Arial"/>
          <w:sz w:val="14"/>
          <w:szCs w:val="14"/>
          <w:color w:val="6D6D6D"/>
        </w:rPr>
      </w:pPr>
      <w:r>
        <w:rPr>
          <w:rFonts w:ascii="Arial" w:cs="Arial" w:eastAsia="Arial" w:hAnsi="Arial"/>
          <w:sz w:val="14"/>
          <w:szCs w:val="14"/>
          <w:color w:val="6D6D6D"/>
        </w:rPr>
        <w:t>Maintenance CapEx primarily includes engine shop visits, aircraft c-checks and restocking of parts for existing operation, as well as CapEx associated with fleet projects that do not contribute additional capacity to the group's operations or add new features to the existing offered product.</w:t>
      </w:r>
    </w:p>
    <w:p>
      <w:pPr>
        <w:jc w:val="both"/>
        <w:ind w:firstLine="8"/>
        <w:spacing w:after="0" w:line="254" w:lineRule="auto"/>
        <w:tabs>
          <w:tab w:leader="none" w:pos="174" w:val="left"/>
        </w:tabs>
        <w:numPr>
          <w:ilvl w:val="0"/>
          <w:numId w:val="9"/>
        </w:numPr>
        <w:rPr>
          <w:rFonts w:ascii="Arial" w:cs="Arial" w:eastAsia="Arial" w:hAnsi="Arial"/>
          <w:sz w:val="14"/>
          <w:szCs w:val="14"/>
          <w:color w:val="6D6D6D"/>
        </w:rPr>
      </w:pPr>
      <w:r>
        <w:rPr>
          <w:rFonts w:ascii="Arial" w:cs="Arial" w:eastAsia="Arial" w:hAnsi="Arial"/>
          <w:sz w:val="14"/>
          <w:szCs w:val="14"/>
          <w:color w:val="6D6D6D"/>
        </w:rPr>
        <w:t>Growth &amp; Fleet CapEx (net of financing) includes CapEx associated with additional spare parts and engines, engine shop visits, aircraft c-checks and restocking of parts for additional operation, PDPs, fleet projects that contribute additional capacity or new features to the existing offered product and certain other strategic projects that add value, and fleet arrivals net of their financing.</w:t>
      </w:r>
    </w:p>
    <w:p>
      <w:pPr>
        <w:spacing w:after="0" w:line="1" w:lineRule="exact"/>
        <w:rPr>
          <w:rFonts w:ascii="Arial" w:cs="Arial" w:eastAsia="Arial" w:hAnsi="Arial"/>
          <w:sz w:val="14"/>
          <w:szCs w:val="14"/>
          <w:color w:val="6D6D6D"/>
        </w:rPr>
      </w:pPr>
    </w:p>
    <w:p>
      <w:pPr>
        <w:ind w:firstLine="8"/>
        <w:spacing w:after="0" w:line="284" w:lineRule="auto"/>
        <w:tabs>
          <w:tab w:leader="none" w:pos="170" w:val="left"/>
        </w:tabs>
        <w:numPr>
          <w:ilvl w:val="0"/>
          <w:numId w:val="9"/>
        </w:numPr>
        <w:rPr>
          <w:rFonts w:ascii="Arial" w:cs="Arial" w:eastAsia="Arial" w:hAnsi="Arial"/>
          <w:sz w:val="14"/>
          <w:szCs w:val="14"/>
          <w:color w:val="6D6D6D"/>
        </w:rPr>
      </w:pPr>
      <w:r>
        <w:rPr>
          <w:rFonts w:ascii="Arial" w:cs="Arial" w:eastAsia="Arial" w:hAnsi="Arial"/>
          <w:sz w:val="14"/>
          <w:szCs w:val="14"/>
          <w:color w:val="6D6D6D"/>
        </w:rPr>
        <w:t>Fleet Cash cost includes Finance lease amortization, interest on finance leases and operating lease payments (Excluding Non-fleet lease liabilities). Calculation can be found on page 17.</w:t>
      </w:r>
    </w:p>
    <w:p>
      <w:pPr>
        <w:sectPr>
          <w:pgSz w:w="11900" w:h="16838" w:orient="portrait"/>
          <w:cols w:equalWidth="0" w:num="1">
            <w:col w:w="11240"/>
          </w:cols>
          <w:pgMar w:left="320" w:top="3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7F7F7F"/>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5863590" cy="685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63590" cy="6858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type w:val="continuous"/>
        </w:sectPr>
      </w:pPr>
    </w:p>
    <w:bookmarkStart w:id="17" w:name="page18"/>
    <w:bookmarkEnd w:id="17"/>
    <w:p>
      <w:pPr>
        <w:ind w:left="140" w:right="10120"/>
        <w:spacing w:after="0" w:line="249" w:lineRule="auto"/>
        <w:rPr>
          <w:sz w:val="20"/>
          <w:szCs w:val="20"/>
          <w:color w:val="auto"/>
        </w:rPr>
      </w:pPr>
      <w:r>
        <w:rPr>
          <w:rFonts w:ascii="Arial" w:cs="Arial" w:eastAsia="Arial" w:hAnsi="Arial"/>
          <w:sz w:val="25"/>
          <w:szCs w:val="25"/>
          <w:i w:val="1"/>
          <w:i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5829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582930"/>
                    </a:xfrm>
                    <a:prstGeom prst="rect">
                      <a:avLst/>
                    </a:prstGeom>
                    <a:noFill/>
                  </pic:spPr>
                </pic:pic>
              </a:graphicData>
            </a:graphic>
          </wp:anchor>
        </w:drawing>
        <w:t>1Q 2026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LATAM Airlines Group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Balance Sheet Indicators </w:t>
      </w:r>
      <w:r>
        <w:rPr>
          <w:rFonts w:ascii="Arial" w:cs="Arial" w:eastAsia="Arial" w:hAnsi="Arial"/>
          <w:sz w:val="18"/>
          <w:szCs w:val="18"/>
          <w:color w:val="auto"/>
        </w:rPr>
        <w:t>(in thousands of US Dollars)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shd w:val="clear" w:color="auto" w:fill="ED1650"/>
          </w:tcPr>
          <w:p>
            <w:pPr>
              <w:spacing w:after="0"/>
              <w:rPr>
                <w:sz w:val="18"/>
                <w:szCs w:val="18"/>
                <w:color w:val="auto"/>
              </w:rPr>
            </w:pPr>
          </w:p>
        </w:tc>
        <w:tc>
          <w:tcPr>
            <w:tcW w:w="1680" w:type="dxa"/>
            <w:vAlign w:val="bottom"/>
            <w:shd w:val="clear" w:color="auto" w:fill="ED1650"/>
          </w:tcPr>
          <w:p>
            <w:pPr>
              <w:ind w:left="300"/>
              <w:spacing w:after="0"/>
              <w:rPr>
                <w:sz w:val="20"/>
                <w:szCs w:val="20"/>
                <w:color w:val="auto"/>
              </w:rPr>
            </w:pPr>
            <w:r>
              <w:rPr>
                <w:rFonts w:ascii="Arial" w:cs="Arial" w:eastAsia="Arial" w:hAnsi="Arial"/>
                <w:sz w:val="16"/>
                <w:szCs w:val="16"/>
                <w:color w:val="FFFFFF"/>
              </w:rPr>
              <w:t>As of March 31,</w:t>
            </w:r>
          </w:p>
        </w:tc>
        <w:tc>
          <w:tcPr>
            <w:tcW w:w="1820" w:type="dxa"/>
            <w:vAlign w:val="bottom"/>
            <w:shd w:val="clear" w:color="auto" w:fill="ED1650"/>
          </w:tcPr>
          <w:p>
            <w:pPr>
              <w:ind w:left="240"/>
              <w:spacing w:after="0"/>
              <w:rPr>
                <w:sz w:val="20"/>
                <w:szCs w:val="20"/>
                <w:color w:val="auto"/>
              </w:rPr>
            </w:pPr>
            <w:r>
              <w:rPr>
                <w:rFonts w:ascii="Arial" w:cs="Arial" w:eastAsia="Arial" w:hAnsi="Arial"/>
                <w:sz w:val="16"/>
                <w:szCs w:val="16"/>
                <w:color w:val="FFFFFF"/>
              </w:rPr>
              <w:t>As of December 31,</w:t>
            </w:r>
          </w:p>
        </w:tc>
      </w:tr>
      <w:tr>
        <w:trPr>
          <w:trHeight w:val="216"/>
        </w:trPr>
        <w:tc>
          <w:tcPr>
            <w:tcW w:w="7720" w:type="dxa"/>
            <w:vAlign w:val="bottom"/>
            <w:shd w:val="clear" w:color="auto" w:fill="ED1650"/>
          </w:tcPr>
          <w:p>
            <w:pPr>
              <w:spacing w:after="0"/>
              <w:rPr>
                <w:sz w:val="18"/>
                <w:szCs w:val="18"/>
                <w:color w:val="auto"/>
              </w:rPr>
            </w:pPr>
          </w:p>
        </w:tc>
        <w:tc>
          <w:tcPr>
            <w:tcW w:w="1680" w:type="dxa"/>
            <w:vAlign w:val="bottom"/>
            <w:shd w:val="clear" w:color="auto" w:fill="ED1650"/>
          </w:tcPr>
          <w:p>
            <w:pPr>
              <w:jc w:val="center"/>
              <w:spacing w:after="0"/>
              <w:rPr>
                <w:sz w:val="20"/>
                <w:szCs w:val="20"/>
                <w:color w:val="auto"/>
              </w:rPr>
            </w:pPr>
            <w:r>
              <w:rPr>
                <w:rFonts w:ascii="Arial" w:cs="Arial" w:eastAsia="Arial" w:hAnsi="Arial"/>
                <w:sz w:val="16"/>
                <w:szCs w:val="16"/>
                <w:color w:val="FFFFFF"/>
              </w:rPr>
              <w:t>2026</w:t>
            </w:r>
          </w:p>
        </w:tc>
        <w:tc>
          <w:tcPr>
            <w:tcW w:w="1820" w:type="dxa"/>
            <w:vAlign w:val="bottom"/>
            <w:shd w:val="clear" w:color="auto" w:fill="ED1650"/>
          </w:tcPr>
          <w:p>
            <w:pPr>
              <w:jc w:val="center"/>
              <w:spacing w:after="0"/>
              <w:rPr>
                <w:sz w:val="20"/>
                <w:szCs w:val="20"/>
                <w:color w:val="auto"/>
              </w:rPr>
            </w:pPr>
            <w:r>
              <w:rPr>
                <w:rFonts w:ascii="Arial" w:cs="Arial" w:eastAsia="Arial" w:hAnsi="Arial"/>
                <w:sz w:val="16"/>
                <w:szCs w:val="16"/>
                <w:color w:val="FFFFFF"/>
              </w:rPr>
              <w:t>2025</w:t>
            </w:r>
          </w:p>
        </w:tc>
      </w:tr>
      <w:tr>
        <w:trPr>
          <w:trHeight w:val="324"/>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Assets</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18,709,197</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17,640,891</w:t>
            </w:r>
          </w:p>
        </w:tc>
      </w:tr>
      <w:tr>
        <w:trPr>
          <w:trHeight w:val="208"/>
        </w:trPr>
        <w:tc>
          <w:tcPr>
            <w:tcW w:w="772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1680" w:type="dxa"/>
            <w:vAlign w:val="bottom"/>
          </w:tcPr>
          <w:p>
            <w:pPr>
              <w:jc w:val="center"/>
              <w:spacing w:after="0"/>
              <w:rPr>
                <w:sz w:val="20"/>
                <w:szCs w:val="20"/>
                <w:color w:val="auto"/>
              </w:rPr>
            </w:pPr>
            <w:r>
              <w:rPr>
                <w:rFonts w:ascii="Arial" w:cs="Arial" w:eastAsia="Arial" w:hAnsi="Arial"/>
                <w:sz w:val="16"/>
                <w:szCs w:val="16"/>
                <w:color w:val="auto"/>
              </w:rPr>
              <w:t>16,782,494</w:t>
            </w:r>
          </w:p>
        </w:tc>
        <w:tc>
          <w:tcPr>
            <w:tcW w:w="1820" w:type="dxa"/>
            <w:vAlign w:val="bottom"/>
          </w:tcPr>
          <w:p>
            <w:pPr>
              <w:jc w:val="center"/>
              <w:spacing w:after="0"/>
              <w:rPr>
                <w:sz w:val="20"/>
                <w:szCs w:val="20"/>
                <w:color w:val="auto"/>
              </w:rPr>
            </w:pPr>
            <w:r>
              <w:rPr>
                <w:rFonts w:ascii="Arial" w:cs="Arial" w:eastAsia="Arial" w:hAnsi="Arial"/>
                <w:sz w:val="16"/>
                <w:szCs w:val="16"/>
                <w:color w:val="auto"/>
              </w:rPr>
              <w:t>16,303,689</w:t>
            </w:r>
          </w:p>
        </w:tc>
      </w:tr>
      <w:tr>
        <w:trPr>
          <w:trHeight w:val="216"/>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Equity*</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1,926,703</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1,337,202</w:t>
            </w:r>
          </w:p>
        </w:tc>
      </w:tr>
      <w:tr>
        <w:trPr>
          <w:trHeight w:val="217"/>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Shareholders' equity</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18,709,197</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rPr>
              <w:t>17,640,891</w:t>
            </w:r>
          </w:p>
        </w:tc>
      </w:tr>
      <w:tr>
        <w:trPr>
          <w:trHeight w:val="477"/>
        </w:trPr>
        <w:tc>
          <w:tcPr>
            <w:tcW w:w="7720" w:type="dxa"/>
            <w:vAlign w:val="bottom"/>
          </w:tcPr>
          <w:p>
            <w:pPr>
              <w:ind w:left="20"/>
              <w:spacing w:after="0"/>
              <w:rPr>
                <w:sz w:val="20"/>
                <w:szCs w:val="20"/>
                <w:color w:val="auto"/>
              </w:rPr>
            </w:pPr>
            <w:r>
              <w:rPr>
                <w:rFonts w:ascii="Arial" w:cs="Arial" w:eastAsia="Arial" w:hAnsi="Arial"/>
                <w:sz w:val="16"/>
                <w:szCs w:val="16"/>
                <w:color w:val="auto"/>
              </w:rPr>
              <w:t>Fleet lease liabilities</w:t>
            </w:r>
          </w:p>
        </w:tc>
        <w:tc>
          <w:tcPr>
            <w:tcW w:w="1680" w:type="dxa"/>
            <w:vAlign w:val="bottom"/>
          </w:tcPr>
          <w:p>
            <w:pPr>
              <w:jc w:val="center"/>
              <w:spacing w:after="0"/>
              <w:rPr>
                <w:sz w:val="20"/>
                <w:szCs w:val="20"/>
                <w:color w:val="auto"/>
              </w:rPr>
            </w:pPr>
            <w:r>
              <w:rPr>
                <w:rFonts w:ascii="Arial" w:cs="Arial" w:eastAsia="Arial" w:hAnsi="Arial"/>
                <w:sz w:val="16"/>
                <w:szCs w:val="16"/>
                <w:color w:val="auto"/>
              </w:rPr>
              <w:t>3,763,507</w:t>
            </w:r>
          </w:p>
        </w:tc>
        <w:tc>
          <w:tcPr>
            <w:tcW w:w="1820" w:type="dxa"/>
            <w:vAlign w:val="bottom"/>
          </w:tcPr>
          <w:p>
            <w:pPr>
              <w:jc w:val="center"/>
              <w:spacing w:after="0"/>
              <w:rPr>
                <w:sz w:val="20"/>
                <w:szCs w:val="20"/>
                <w:color w:val="auto"/>
              </w:rPr>
            </w:pPr>
            <w:r>
              <w:rPr>
                <w:rFonts w:ascii="Arial" w:cs="Arial" w:eastAsia="Arial" w:hAnsi="Arial"/>
                <w:sz w:val="16"/>
                <w:szCs w:val="16"/>
                <w:color w:val="auto"/>
              </w:rPr>
              <w:t>3,574,031</w:t>
            </w: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color w:val="auto"/>
              </w:rPr>
              <w:t>Fleet financial debt</w:t>
            </w:r>
          </w:p>
        </w:tc>
        <w:tc>
          <w:tcPr>
            <w:tcW w:w="1680" w:type="dxa"/>
            <w:vAlign w:val="bottom"/>
          </w:tcPr>
          <w:p>
            <w:pPr>
              <w:jc w:val="center"/>
              <w:spacing w:after="0"/>
              <w:rPr>
                <w:sz w:val="20"/>
                <w:szCs w:val="20"/>
                <w:color w:val="auto"/>
              </w:rPr>
            </w:pPr>
            <w:r>
              <w:rPr>
                <w:rFonts w:ascii="Arial" w:cs="Arial" w:eastAsia="Arial" w:hAnsi="Arial"/>
                <w:sz w:val="16"/>
                <w:szCs w:val="16"/>
                <w:color w:val="auto"/>
              </w:rPr>
              <w:t>1,748,892</w:t>
            </w:r>
          </w:p>
        </w:tc>
        <w:tc>
          <w:tcPr>
            <w:tcW w:w="1820" w:type="dxa"/>
            <w:vAlign w:val="bottom"/>
          </w:tcPr>
          <w:p>
            <w:pPr>
              <w:jc w:val="center"/>
              <w:spacing w:after="0"/>
              <w:rPr>
                <w:sz w:val="20"/>
                <w:szCs w:val="20"/>
                <w:color w:val="auto"/>
              </w:rPr>
            </w:pPr>
            <w:r>
              <w:rPr>
                <w:rFonts w:ascii="Arial" w:cs="Arial" w:eastAsia="Arial" w:hAnsi="Arial"/>
                <w:sz w:val="16"/>
                <w:szCs w:val="16"/>
                <w:color w:val="auto"/>
              </w:rPr>
              <w:t>1,696,566</w:t>
            </w:r>
          </w:p>
        </w:tc>
      </w:tr>
      <w:tr>
        <w:trPr>
          <w:trHeight w:val="217"/>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Total Fleet Debt</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5,512,399</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rPr>
              <w:t>5,270,597</w:t>
            </w: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Total Non-Fleet Debt (includes non-fleet lease liabilities and non-fleet financial debt)</w:t>
            </w:r>
          </w:p>
        </w:tc>
        <w:tc>
          <w:tcPr>
            <w:tcW w:w="1680" w:type="dxa"/>
            <w:vAlign w:val="bottom"/>
          </w:tcPr>
          <w:p>
            <w:pPr>
              <w:jc w:val="center"/>
              <w:spacing w:after="0"/>
              <w:rPr>
                <w:sz w:val="20"/>
                <w:szCs w:val="20"/>
                <w:color w:val="auto"/>
              </w:rPr>
            </w:pPr>
            <w:r>
              <w:rPr>
                <w:rFonts w:ascii="Arial" w:cs="Arial" w:eastAsia="Arial" w:hAnsi="Arial"/>
                <w:sz w:val="16"/>
                <w:szCs w:val="16"/>
                <w:color w:val="auto"/>
              </w:rPr>
              <w:t>2,885,659</w:t>
            </w:r>
          </w:p>
        </w:tc>
        <w:tc>
          <w:tcPr>
            <w:tcW w:w="1820" w:type="dxa"/>
            <w:vAlign w:val="bottom"/>
          </w:tcPr>
          <w:p>
            <w:pPr>
              <w:jc w:val="center"/>
              <w:spacing w:after="0"/>
              <w:rPr>
                <w:sz w:val="20"/>
                <w:szCs w:val="20"/>
                <w:color w:val="auto"/>
              </w:rPr>
            </w:pPr>
            <w:r>
              <w:rPr>
                <w:rFonts w:ascii="Arial" w:cs="Arial" w:eastAsia="Arial" w:hAnsi="Arial"/>
                <w:sz w:val="16"/>
                <w:szCs w:val="16"/>
                <w:color w:val="auto"/>
              </w:rPr>
              <w:t>2,817,929</w:t>
            </w:r>
          </w:p>
        </w:tc>
      </w:tr>
      <w:tr>
        <w:trPr>
          <w:trHeight w:val="217"/>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Total Gross Debt</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8,398,058</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rPr>
              <w:t>8,088,526</w:t>
            </w:r>
          </w:p>
        </w:tc>
      </w:tr>
      <w:tr>
        <w:trPr>
          <w:trHeight w:val="216"/>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cash equivalents and liquid investments</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(2,540,752)</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(2,150,113)</w:t>
            </w:r>
          </w:p>
        </w:tc>
      </w:tr>
      <w:tr>
        <w:trPr>
          <w:trHeight w:val="210"/>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Net Debt</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5,857,306</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5,938,413</w:t>
            </w: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6D6D6D"/>
        </w:rPr>
        <w:t>*Includes non-controlling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LATAM Airlines Group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 Financial Ratios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shd w:val="clear" w:color="auto" w:fill="ED1650"/>
          </w:tcPr>
          <w:p>
            <w:pPr>
              <w:spacing w:after="0"/>
              <w:rPr>
                <w:sz w:val="18"/>
                <w:szCs w:val="18"/>
                <w:color w:val="auto"/>
              </w:rPr>
            </w:pPr>
          </w:p>
        </w:tc>
        <w:tc>
          <w:tcPr>
            <w:tcW w:w="1680" w:type="dxa"/>
            <w:vAlign w:val="bottom"/>
            <w:shd w:val="clear" w:color="auto" w:fill="ED1650"/>
          </w:tcPr>
          <w:p>
            <w:pPr>
              <w:ind w:left="300"/>
              <w:spacing w:after="0"/>
              <w:rPr>
                <w:sz w:val="20"/>
                <w:szCs w:val="20"/>
                <w:color w:val="auto"/>
              </w:rPr>
            </w:pPr>
            <w:r>
              <w:rPr>
                <w:rFonts w:ascii="Arial" w:cs="Arial" w:eastAsia="Arial" w:hAnsi="Arial"/>
                <w:sz w:val="16"/>
                <w:szCs w:val="16"/>
                <w:color w:val="FFFFFF"/>
              </w:rPr>
              <w:t>As of March 31,</w:t>
            </w:r>
          </w:p>
        </w:tc>
        <w:tc>
          <w:tcPr>
            <w:tcW w:w="1820" w:type="dxa"/>
            <w:vAlign w:val="bottom"/>
            <w:shd w:val="clear" w:color="auto" w:fill="ED1650"/>
          </w:tcPr>
          <w:p>
            <w:pPr>
              <w:ind w:left="240"/>
              <w:spacing w:after="0"/>
              <w:rPr>
                <w:sz w:val="20"/>
                <w:szCs w:val="20"/>
                <w:color w:val="auto"/>
              </w:rPr>
            </w:pPr>
            <w:r>
              <w:rPr>
                <w:rFonts w:ascii="Arial" w:cs="Arial" w:eastAsia="Arial" w:hAnsi="Arial"/>
                <w:sz w:val="16"/>
                <w:szCs w:val="16"/>
                <w:color w:val="FFFFFF"/>
              </w:rPr>
              <w:t>As of December 31,</w:t>
            </w:r>
          </w:p>
        </w:tc>
      </w:tr>
      <w:tr>
        <w:trPr>
          <w:trHeight w:val="216"/>
        </w:trPr>
        <w:tc>
          <w:tcPr>
            <w:tcW w:w="7720" w:type="dxa"/>
            <w:vAlign w:val="bottom"/>
            <w:shd w:val="clear" w:color="auto" w:fill="ED1650"/>
          </w:tcPr>
          <w:p>
            <w:pPr>
              <w:spacing w:after="0"/>
              <w:rPr>
                <w:sz w:val="18"/>
                <w:szCs w:val="18"/>
                <w:color w:val="auto"/>
              </w:rPr>
            </w:pPr>
          </w:p>
        </w:tc>
        <w:tc>
          <w:tcPr>
            <w:tcW w:w="1680" w:type="dxa"/>
            <w:vAlign w:val="bottom"/>
            <w:shd w:val="clear" w:color="auto" w:fill="ED1650"/>
          </w:tcPr>
          <w:p>
            <w:pPr>
              <w:jc w:val="center"/>
              <w:spacing w:after="0"/>
              <w:rPr>
                <w:sz w:val="20"/>
                <w:szCs w:val="20"/>
                <w:color w:val="auto"/>
              </w:rPr>
            </w:pPr>
            <w:r>
              <w:rPr>
                <w:rFonts w:ascii="Arial" w:cs="Arial" w:eastAsia="Arial" w:hAnsi="Arial"/>
                <w:sz w:val="16"/>
                <w:szCs w:val="16"/>
                <w:color w:val="FFFFFF"/>
              </w:rPr>
              <w:t>2026</w:t>
            </w:r>
          </w:p>
        </w:tc>
        <w:tc>
          <w:tcPr>
            <w:tcW w:w="1820" w:type="dxa"/>
            <w:vAlign w:val="bottom"/>
            <w:shd w:val="clear" w:color="auto" w:fill="ED1650"/>
          </w:tcPr>
          <w:p>
            <w:pPr>
              <w:jc w:val="center"/>
              <w:spacing w:after="0"/>
              <w:rPr>
                <w:sz w:val="20"/>
                <w:szCs w:val="20"/>
                <w:color w:val="auto"/>
              </w:rPr>
            </w:pPr>
            <w:r>
              <w:rPr>
                <w:rFonts w:ascii="Arial" w:cs="Arial" w:eastAsia="Arial" w:hAnsi="Arial"/>
                <w:sz w:val="16"/>
                <w:szCs w:val="16"/>
                <w:color w:val="FFFFFF"/>
              </w:rPr>
              <w:t>2025</w:t>
            </w:r>
          </w:p>
        </w:tc>
      </w:tr>
      <w:tr>
        <w:trPr>
          <w:trHeight w:val="322"/>
        </w:trPr>
        <w:tc>
          <w:tcPr>
            <w:tcW w:w="7720" w:type="dxa"/>
            <w:vAlign w:val="bottom"/>
          </w:tcPr>
          <w:p>
            <w:pPr>
              <w:ind w:left="20"/>
              <w:spacing w:after="0"/>
              <w:rPr>
                <w:sz w:val="20"/>
                <w:szCs w:val="20"/>
                <w:color w:val="auto"/>
              </w:rPr>
            </w:pPr>
            <w:r>
              <w:rPr>
                <w:rFonts w:ascii="Arial" w:cs="Arial" w:eastAsia="Arial" w:hAnsi="Arial"/>
                <w:sz w:val="16"/>
                <w:szCs w:val="16"/>
                <w:color w:val="auto"/>
              </w:rPr>
              <w:t>Cash, cash equivalents and liquid investments</w:t>
            </w:r>
          </w:p>
        </w:tc>
        <w:tc>
          <w:tcPr>
            <w:tcW w:w="1680" w:type="dxa"/>
            <w:vAlign w:val="bottom"/>
          </w:tcPr>
          <w:p>
            <w:pPr>
              <w:jc w:val="center"/>
              <w:spacing w:after="0"/>
              <w:rPr>
                <w:sz w:val="20"/>
                <w:szCs w:val="20"/>
                <w:color w:val="auto"/>
              </w:rPr>
            </w:pPr>
            <w:r>
              <w:rPr>
                <w:rFonts w:ascii="Arial" w:cs="Arial" w:eastAsia="Arial" w:hAnsi="Arial"/>
                <w:sz w:val="16"/>
                <w:szCs w:val="16"/>
                <w:color w:val="auto"/>
              </w:rPr>
              <w:t>2,540,752</w:t>
            </w:r>
          </w:p>
        </w:tc>
        <w:tc>
          <w:tcPr>
            <w:tcW w:w="1820" w:type="dxa"/>
            <w:vAlign w:val="bottom"/>
          </w:tcPr>
          <w:p>
            <w:pPr>
              <w:jc w:val="center"/>
              <w:spacing w:after="0"/>
              <w:rPr>
                <w:sz w:val="20"/>
                <w:szCs w:val="20"/>
                <w:color w:val="auto"/>
              </w:rPr>
            </w:pPr>
            <w:r>
              <w:rPr>
                <w:rFonts w:ascii="Arial" w:cs="Arial" w:eastAsia="Arial" w:hAnsi="Arial"/>
                <w:sz w:val="16"/>
                <w:szCs w:val="16"/>
                <w:color w:val="auto"/>
                <w:w w:val="98"/>
              </w:rPr>
              <w:t>2,150,113</w:t>
            </w:r>
          </w:p>
        </w:tc>
      </w:tr>
      <w:tr>
        <w:trPr>
          <w:trHeight w:val="217"/>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Revolving Credit Facilities (RCF)</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1,575,000</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1,575,000</w:t>
            </w:r>
          </w:p>
        </w:tc>
      </w:tr>
      <w:tr>
        <w:trPr>
          <w:trHeight w:val="210"/>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Liquidity (US$ thousands)</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8"/>
              </w:rPr>
              <w:t>4,115,752</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8"/>
              </w:rPr>
              <w:t>3,725,113</w:t>
            </w:r>
          </w:p>
        </w:tc>
      </w:tr>
      <w:tr>
        <w:trPr>
          <w:trHeight w:val="216"/>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Liquidity as % of LTM revenues</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27.0%</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25.7%</w:t>
            </w:r>
          </w:p>
        </w:tc>
      </w:tr>
      <w:tr>
        <w:trPr>
          <w:trHeight w:val="465"/>
        </w:trPr>
        <w:tc>
          <w:tcPr>
            <w:tcW w:w="7720" w:type="dxa"/>
            <w:vAlign w:val="bottom"/>
          </w:tcPr>
          <w:p>
            <w:pPr>
              <w:ind w:left="20"/>
              <w:spacing w:after="0"/>
              <w:rPr>
                <w:sz w:val="20"/>
                <w:szCs w:val="20"/>
                <w:color w:val="auto"/>
              </w:rPr>
            </w:pPr>
            <w:r>
              <w:rPr>
                <w:rFonts w:ascii="Arial" w:cs="Arial" w:eastAsia="Arial" w:hAnsi="Arial"/>
                <w:sz w:val="16"/>
                <w:szCs w:val="16"/>
                <w:color w:val="auto"/>
              </w:rPr>
              <w:t>Gross Debt (US$ thousands)</w:t>
            </w:r>
          </w:p>
        </w:tc>
        <w:tc>
          <w:tcPr>
            <w:tcW w:w="1680" w:type="dxa"/>
            <w:vAlign w:val="bottom"/>
          </w:tcPr>
          <w:p>
            <w:pPr>
              <w:jc w:val="center"/>
              <w:spacing w:after="0"/>
              <w:rPr>
                <w:sz w:val="20"/>
                <w:szCs w:val="20"/>
                <w:color w:val="auto"/>
              </w:rPr>
            </w:pPr>
            <w:r>
              <w:rPr>
                <w:rFonts w:ascii="Arial" w:cs="Arial" w:eastAsia="Arial" w:hAnsi="Arial"/>
                <w:sz w:val="16"/>
                <w:szCs w:val="16"/>
                <w:color w:val="auto"/>
              </w:rPr>
              <w:t>8,398,058</w:t>
            </w:r>
          </w:p>
        </w:tc>
        <w:tc>
          <w:tcPr>
            <w:tcW w:w="1820" w:type="dxa"/>
            <w:vAlign w:val="bottom"/>
          </w:tcPr>
          <w:p>
            <w:pPr>
              <w:jc w:val="center"/>
              <w:spacing w:after="0"/>
              <w:rPr>
                <w:sz w:val="20"/>
                <w:szCs w:val="20"/>
                <w:color w:val="auto"/>
              </w:rPr>
            </w:pPr>
            <w:r>
              <w:rPr>
                <w:rFonts w:ascii="Arial" w:cs="Arial" w:eastAsia="Arial" w:hAnsi="Arial"/>
                <w:sz w:val="16"/>
                <w:szCs w:val="16"/>
                <w:color w:val="auto"/>
              </w:rPr>
              <w:t>8,088,526</w:t>
            </w:r>
          </w:p>
        </w:tc>
      </w:tr>
      <w:tr>
        <w:trPr>
          <w:trHeight w:val="217"/>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Gross Debt / Adjusted EBITDA (LTM)</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1.9x</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2.0x</w:t>
            </w:r>
          </w:p>
        </w:tc>
      </w:tr>
      <w:tr>
        <w:trPr>
          <w:trHeight w:val="465"/>
        </w:trPr>
        <w:tc>
          <w:tcPr>
            <w:tcW w:w="7720" w:type="dxa"/>
            <w:vAlign w:val="bottom"/>
          </w:tcPr>
          <w:p>
            <w:pPr>
              <w:ind w:left="20"/>
              <w:spacing w:after="0"/>
              <w:rPr>
                <w:sz w:val="20"/>
                <w:szCs w:val="20"/>
                <w:color w:val="auto"/>
              </w:rPr>
            </w:pPr>
            <w:r>
              <w:rPr>
                <w:rFonts w:ascii="Arial" w:cs="Arial" w:eastAsia="Arial" w:hAnsi="Arial"/>
                <w:sz w:val="16"/>
                <w:szCs w:val="16"/>
                <w:color w:val="auto"/>
              </w:rPr>
              <w:t>Net Debt (US$ thousands)</w:t>
            </w:r>
          </w:p>
        </w:tc>
        <w:tc>
          <w:tcPr>
            <w:tcW w:w="1680" w:type="dxa"/>
            <w:vAlign w:val="bottom"/>
          </w:tcPr>
          <w:p>
            <w:pPr>
              <w:jc w:val="center"/>
              <w:spacing w:after="0"/>
              <w:rPr>
                <w:sz w:val="20"/>
                <w:szCs w:val="20"/>
                <w:color w:val="auto"/>
              </w:rPr>
            </w:pPr>
            <w:r>
              <w:rPr>
                <w:rFonts w:ascii="Arial" w:cs="Arial" w:eastAsia="Arial" w:hAnsi="Arial"/>
                <w:sz w:val="16"/>
                <w:szCs w:val="16"/>
                <w:color w:val="auto"/>
              </w:rPr>
              <w:t>5,857,306</w:t>
            </w:r>
          </w:p>
        </w:tc>
        <w:tc>
          <w:tcPr>
            <w:tcW w:w="1820" w:type="dxa"/>
            <w:vAlign w:val="bottom"/>
          </w:tcPr>
          <w:p>
            <w:pPr>
              <w:jc w:val="center"/>
              <w:spacing w:after="0"/>
              <w:rPr>
                <w:sz w:val="20"/>
                <w:szCs w:val="20"/>
                <w:color w:val="auto"/>
              </w:rPr>
            </w:pPr>
            <w:r>
              <w:rPr>
                <w:rFonts w:ascii="Arial" w:cs="Arial" w:eastAsia="Arial" w:hAnsi="Arial"/>
                <w:sz w:val="16"/>
                <w:szCs w:val="16"/>
                <w:color w:val="auto"/>
              </w:rPr>
              <w:t>5,938,413</w:t>
            </w:r>
          </w:p>
        </w:tc>
      </w:tr>
      <w:tr>
        <w:trPr>
          <w:trHeight w:val="217"/>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Debt / Adjusted EBITDA (LTM)</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1.3x</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1.5x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44" w:lineRule="auto"/>
        <w:rPr>
          <w:sz w:val="20"/>
          <w:szCs w:val="20"/>
          <w:color w:val="auto"/>
        </w:rPr>
      </w:pPr>
      <w:r>
        <w:rPr>
          <w:rFonts w:ascii="Arial" w:cs="Arial" w:eastAsia="Arial" w:hAnsi="Arial"/>
          <w:sz w:val="14"/>
          <w:szCs w:val="14"/>
          <w:b w:val="1"/>
          <w:bCs w:val="1"/>
          <w:color w:val="6D6D6D"/>
        </w:rPr>
        <w:t xml:space="preserve">Note: </w:t>
      </w:r>
      <w:r>
        <w:rPr>
          <w:rFonts w:ascii="Arial" w:cs="Arial" w:eastAsia="Arial" w:hAnsi="Arial"/>
          <w:sz w:val="14"/>
          <w:szCs w:val="14"/>
          <w:color w:val="6D6D6D"/>
        </w:rPr>
        <w:t>Adjusted EBITDA (LTM) refers to Adjusted EBITDA (Last Twelve Months) (US$ thousands). For the ratios as of March 31, 2026, and December 31, 2025, it is calculated</w:t>
      </w:r>
      <w:r>
        <w:rPr>
          <w:rFonts w:ascii="Arial" w:cs="Arial" w:eastAsia="Arial" w:hAnsi="Arial"/>
          <w:sz w:val="14"/>
          <w:szCs w:val="14"/>
          <w:b w:val="1"/>
          <w:bCs w:val="1"/>
          <w:color w:val="6D6D6D"/>
        </w:rPr>
        <w:t xml:space="preserve"> </w:t>
      </w:r>
      <w:r>
        <w:rPr>
          <w:rFonts w:ascii="Arial" w:cs="Arial" w:eastAsia="Arial" w:hAnsi="Arial"/>
          <w:sz w:val="14"/>
          <w:szCs w:val="14"/>
          <w:color w:val="6D6D6D"/>
        </w:rPr>
        <w:t>using the last twelve months as of March 31, 2026 (US$4,443,695</w:t>
      </w:r>
      <w:r>
        <w:rPr>
          <w:rFonts w:ascii="Arial" w:cs="Arial" w:eastAsia="Arial" w:hAnsi="Arial"/>
          <w:sz w:val="9"/>
          <w:szCs w:val="9"/>
          <w:color w:val="6D6D6D"/>
        </w:rPr>
        <w:t>2</w:t>
      </w:r>
      <w:r>
        <w:rPr>
          <w:rFonts w:ascii="Arial" w:cs="Arial" w:eastAsia="Arial" w:hAnsi="Arial"/>
          <w:sz w:val="14"/>
          <w:szCs w:val="14"/>
          <w:color w:val="6D6D6D"/>
        </w:rPr>
        <w:t>) and the full twelve months in 2025 (US$4,091,049).</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714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ectPr>
          <w:pgSz w:w="11900" w:h="16838" w:orient="portrait"/>
          <w:cols w:equalWidth="0" w:num="1">
            <w:col w:w="11240"/>
          </w:cols>
          <w:pgMar w:left="320" w:top="322" w:right="339" w:bottom="6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color w:val="7F7F7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863590" cy="685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63590" cy="68580"/>
                    </a:xfrm>
                    <a:prstGeom prst="rect">
                      <a:avLst/>
                    </a:prstGeom>
                    <a:noFill/>
                  </pic:spPr>
                </pic:pic>
              </a:graphicData>
            </a:graphic>
          </wp:anchor>
        </w:drawing>
      </w:r>
    </w:p>
    <w:p>
      <w:pPr>
        <w:sectPr>
          <w:pgSz w:w="11900" w:h="16838" w:orient="portrait"/>
          <w:cols w:equalWidth="0" w:num="1">
            <w:col w:w="11240"/>
          </w:cols>
          <w:pgMar w:left="320" w:top="322" w:right="339" w:bottom="646" w:gutter="0" w:footer="0" w:header="0"/>
          <w:type w:val="continuous"/>
        </w:sectPr>
      </w:pPr>
    </w:p>
    <w:bookmarkStart w:id="18" w:name="page19"/>
    <w:bookmarkEnd w:id="18"/>
    <w:p>
      <w:pPr>
        <w:ind w:left="140" w:right="10100"/>
        <w:spacing w:after="0" w:line="249" w:lineRule="auto"/>
        <w:rPr>
          <w:sz w:val="20"/>
          <w:szCs w:val="20"/>
          <w:color w:val="auto"/>
        </w:rPr>
      </w:pPr>
      <w:r>
        <w:rPr>
          <w:rFonts w:ascii="Arial" w:cs="Arial" w:eastAsia="Arial" w:hAnsi="Arial"/>
          <w:sz w:val="25"/>
          <w:szCs w:val="25"/>
          <w:i w:val="1"/>
          <w:i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5829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582930"/>
                    </a:xfrm>
                    <a:prstGeom prst="rect">
                      <a:avLst/>
                    </a:prstGeom>
                    <a:noFill/>
                  </pic:spPr>
                </pic:pic>
              </a:graphicData>
            </a:graphic>
          </wp:anchor>
        </w:drawing>
        <w:t>1Q 2026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LATAM Airlines Group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Fleet</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320" w:type="dxa"/>
            <w:vAlign w:val="bottom"/>
            <w:shd w:val="clear" w:color="auto" w:fill="9452FF"/>
          </w:tcPr>
          <w:p>
            <w:pPr>
              <w:spacing w:after="0"/>
              <w:rPr>
                <w:sz w:val="19"/>
                <w:szCs w:val="19"/>
                <w:color w:val="auto"/>
              </w:rPr>
            </w:pPr>
          </w:p>
        </w:tc>
        <w:tc>
          <w:tcPr>
            <w:tcW w:w="2380" w:type="dxa"/>
            <w:vAlign w:val="bottom"/>
            <w:shd w:val="clear" w:color="auto" w:fill="9452FF"/>
          </w:tcPr>
          <w:p>
            <w:pPr>
              <w:spacing w:after="0"/>
              <w:rPr>
                <w:sz w:val="19"/>
                <w:szCs w:val="19"/>
                <w:color w:val="auto"/>
              </w:rPr>
            </w:pPr>
          </w:p>
        </w:tc>
        <w:tc>
          <w:tcPr>
            <w:tcW w:w="2560" w:type="dxa"/>
            <w:vAlign w:val="bottom"/>
            <w:shd w:val="clear" w:color="auto" w:fill="9452FF"/>
          </w:tcPr>
          <w:p>
            <w:pPr>
              <w:jc w:val="center"/>
              <w:ind w:right="370"/>
              <w:spacing w:after="0"/>
              <w:rPr>
                <w:sz w:val="20"/>
                <w:szCs w:val="20"/>
                <w:color w:val="auto"/>
              </w:rPr>
            </w:pPr>
            <w:r>
              <w:rPr>
                <w:rFonts w:ascii="Arial" w:cs="Arial" w:eastAsia="Arial" w:hAnsi="Arial"/>
                <w:sz w:val="18"/>
                <w:szCs w:val="18"/>
                <w:color w:val="FFFFFF"/>
                <w:w w:val="99"/>
              </w:rPr>
              <w:t>As of March 31, 2026</w:t>
            </w:r>
          </w:p>
        </w:tc>
        <w:tc>
          <w:tcPr>
            <w:tcW w:w="1920" w:type="dxa"/>
            <w:vAlign w:val="bottom"/>
            <w:shd w:val="clear" w:color="auto" w:fill="9452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320" w:type="dxa"/>
            <w:vAlign w:val="bottom"/>
            <w:shd w:val="clear" w:color="auto" w:fill="9452FF"/>
          </w:tcPr>
          <w:p>
            <w:pPr>
              <w:spacing w:after="0"/>
              <w:rPr>
                <w:sz w:val="15"/>
                <w:szCs w:val="15"/>
                <w:color w:val="auto"/>
              </w:rPr>
            </w:pPr>
          </w:p>
        </w:tc>
        <w:tc>
          <w:tcPr>
            <w:tcW w:w="2380" w:type="dxa"/>
            <w:vAlign w:val="bottom"/>
            <w:shd w:val="clear" w:color="auto" w:fill="9452FF"/>
          </w:tcPr>
          <w:p>
            <w:pPr>
              <w:jc w:val="center"/>
              <w:spacing w:after="0" w:line="183" w:lineRule="exact"/>
              <w:rPr>
                <w:sz w:val="20"/>
                <w:szCs w:val="20"/>
                <w:color w:val="auto"/>
              </w:rPr>
            </w:pPr>
            <w:r>
              <w:rPr>
                <w:rFonts w:ascii="Arial" w:cs="Arial" w:eastAsia="Arial" w:hAnsi="Arial"/>
                <w:sz w:val="18"/>
                <w:szCs w:val="18"/>
                <w:color w:val="FFFFFF"/>
                <w:w w:val="99"/>
              </w:rPr>
              <w:t>Aircraft on Property, Plant &amp;</w:t>
            </w:r>
          </w:p>
        </w:tc>
        <w:tc>
          <w:tcPr>
            <w:tcW w:w="2560" w:type="dxa"/>
            <w:vAlign w:val="bottom"/>
            <w:shd w:val="clear" w:color="auto" w:fill="9452FF"/>
          </w:tcPr>
          <w:p>
            <w:pPr>
              <w:jc w:val="center"/>
              <w:ind w:right="370"/>
              <w:spacing w:after="0" w:line="183" w:lineRule="exact"/>
              <w:rPr>
                <w:sz w:val="20"/>
                <w:szCs w:val="20"/>
                <w:color w:val="auto"/>
              </w:rPr>
            </w:pPr>
            <w:r>
              <w:rPr>
                <w:rFonts w:ascii="Arial" w:cs="Arial" w:eastAsia="Arial" w:hAnsi="Arial"/>
                <w:sz w:val="18"/>
                <w:szCs w:val="18"/>
                <w:color w:val="FFFFFF"/>
                <w:w w:val="99"/>
              </w:rPr>
              <w:t>Aircraft on Right of Use</w:t>
            </w:r>
          </w:p>
        </w:tc>
        <w:tc>
          <w:tcPr>
            <w:tcW w:w="1920" w:type="dxa"/>
            <w:vAlign w:val="bottom"/>
            <w:vMerge w:val="restart"/>
            <w:shd w:val="clear" w:color="auto" w:fill="9452FF"/>
          </w:tcPr>
          <w:p>
            <w:pPr>
              <w:ind w:left="580"/>
              <w:spacing w:after="0"/>
              <w:rPr>
                <w:sz w:val="20"/>
                <w:szCs w:val="20"/>
                <w:color w:val="auto"/>
              </w:rPr>
            </w:pPr>
            <w:r>
              <w:rPr>
                <w:rFonts w:ascii="Arial" w:cs="Arial" w:eastAsia="Arial" w:hAnsi="Arial"/>
                <w:sz w:val="18"/>
                <w:szCs w:val="18"/>
                <w:color w:val="FFFFFF"/>
              </w:rPr>
              <w:t>Total</w:t>
            </w:r>
          </w:p>
        </w:tc>
        <w:tc>
          <w:tcPr>
            <w:tcW w:w="0" w:type="dxa"/>
            <w:vAlign w:val="bottom"/>
          </w:tcPr>
          <w:p>
            <w:pPr>
              <w:spacing w:after="0"/>
              <w:rPr>
                <w:sz w:val="1"/>
                <w:szCs w:val="1"/>
                <w:color w:val="auto"/>
              </w:rPr>
            </w:pPr>
          </w:p>
        </w:tc>
      </w:tr>
      <w:tr>
        <w:trPr>
          <w:trHeight w:val="144"/>
        </w:trPr>
        <w:tc>
          <w:tcPr>
            <w:tcW w:w="4320" w:type="dxa"/>
            <w:vAlign w:val="bottom"/>
            <w:shd w:val="clear" w:color="auto" w:fill="9452FF"/>
          </w:tcPr>
          <w:p>
            <w:pPr>
              <w:spacing w:after="0"/>
              <w:rPr>
                <w:sz w:val="12"/>
                <w:szCs w:val="12"/>
                <w:color w:val="auto"/>
              </w:rPr>
            </w:pPr>
          </w:p>
        </w:tc>
        <w:tc>
          <w:tcPr>
            <w:tcW w:w="2380" w:type="dxa"/>
            <w:vAlign w:val="bottom"/>
            <w:vMerge w:val="restart"/>
            <w:shd w:val="clear" w:color="auto" w:fill="9452FF"/>
          </w:tcPr>
          <w:p>
            <w:pPr>
              <w:jc w:val="center"/>
              <w:spacing w:after="0"/>
              <w:rPr>
                <w:sz w:val="20"/>
                <w:szCs w:val="20"/>
                <w:color w:val="auto"/>
              </w:rPr>
            </w:pPr>
            <w:r>
              <w:rPr>
                <w:rFonts w:ascii="Arial" w:cs="Arial" w:eastAsia="Arial" w:hAnsi="Arial"/>
                <w:sz w:val="18"/>
                <w:szCs w:val="18"/>
                <w:color w:val="FFFFFF"/>
                <w:w w:val="99"/>
              </w:rPr>
              <w:t>Equipment</w:t>
            </w:r>
          </w:p>
        </w:tc>
        <w:tc>
          <w:tcPr>
            <w:tcW w:w="2560" w:type="dxa"/>
            <w:vAlign w:val="bottom"/>
            <w:vMerge w:val="restart"/>
            <w:shd w:val="clear" w:color="auto" w:fill="9452FF"/>
          </w:tcPr>
          <w:p>
            <w:pPr>
              <w:jc w:val="center"/>
              <w:ind w:right="350"/>
              <w:spacing w:after="0"/>
              <w:rPr>
                <w:sz w:val="20"/>
                <w:szCs w:val="20"/>
                <w:color w:val="auto"/>
              </w:rPr>
            </w:pPr>
            <w:r>
              <w:rPr>
                <w:rFonts w:ascii="Arial" w:cs="Arial" w:eastAsia="Arial" w:hAnsi="Arial"/>
                <w:sz w:val="18"/>
                <w:szCs w:val="18"/>
                <w:color w:val="FFFFFF"/>
                <w:w w:val="99"/>
              </w:rPr>
              <w:t>under IFRS16</w:t>
            </w:r>
          </w:p>
        </w:tc>
        <w:tc>
          <w:tcPr>
            <w:tcW w:w="1920" w:type="dxa"/>
            <w:vAlign w:val="bottom"/>
            <w:vMerge w:val="continue"/>
            <w:shd w:val="clear" w:color="auto" w:fill="9452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320" w:type="dxa"/>
            <w:vAlign w:val="bottom"/>
            <w:shd w:val="clear" w:color="auto" w:fill="9452FF"/>
          </w:tcPr>
          <w:p>
            <w:pPr>
              <w:spacing w:after="0"/>
              <w:rPr>
                <w:sz w:val="7"/>
                <w:szCs w:val="7"/>
                <w:color w:val="auto"/>
              </w:rPr>
            </w:pPr>
          </w:p>
        </w:tc>
        <w:tc>
          <w:tcPr>
            <w:tcW w:w="2380" w:type="dxa"/>
            <w:vAlign w:val="bottom"/>
            <w:vMerge w:val="continue"/>
            <w:shd w:val="clear" w:color="auto" w:fill="9452FF"/>
          </w:tcPr>
          <w:p>
            <w:pPr>
              <w:spacing w:after="0"/>
              <w:rPr>
                <w:sz w:val="7"/>
                <w:szCs w:val="7"/>
                <w:color w:val="auto"/>
              </w:rPr>
            </w:pPr>
          </w:p>
        </w:tc>
        <w:tc>
          <w:tcPr>
            <w:tcW w:w="2560" w:type="dxa"/>
            <w:vAlign w:val="bottom"/>
            <w:vMerge w:val="continue"/>
            <w:shd w:val="clear" w:color="auto" w:fill="9452FF"/>
          </w:tcPr>
          <w:p>
            <w:pPr>
              <w:spacing w:after="0"/>
              <w:rPr>
                <w:sz w:val="7"/>
                <w:szCs w:val="7"/>
                <w:color w:val="auto"/>
              </w:rPr>
            </w:pPr>
          </w:p>
        </w:tc>
        <w:tc>
          <w:tcPr>
            <w:tcW w:w="1920" w:type="dxa"/>
            <w:vAlign w:val="bottom"/>
            <w:shd w:val="clear" w:color="auto" w:fill="9452FF"/>
          </w:tcPr>
          <w:p>
            <w:pPr>
              <w:spacing w:after="0"/>
              <w:rPr>
                <w:sz w:val="7"/>
                <w:szCs w:val="7"/>
                <w:color w:val="auto"/>
              </w:rPr>
            </w:pPr>
          </w:p>
        </w:tc>
        <w:tc>
          <w:tcPr>
            <w:tcW w:w="0" w:type="dxa"/>
            <w:vAlign w:val="bottom"/>
          </w:tcPr>
          <w:p>
            <w:pPr>
              <w:spacing w:after="0"/>
              <w:rPr>
                <w:sz w:val="1"/>
                <w:szCs w:val="1"/>
                <w:color w:val="auto"/>
              </w:rPr>
            </w:pPr>
          </w:p>
        </w:tc>
      </w:tr>
      <w:tr>
        <w:trPr>
          <w:trHeight w:val="440"/>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Passenger Aircraft</w:t>
            </w:r>
          </w:p>
        </w:tc>
        <w:tc>
          <w:tcPr>
            <w:tcW w:w="23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Boeing 767-300ER</w:t>
            </w: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2560" w:type="dxa"/>
            <w:vAlign w:val="bottom"/>
          </w:tcPr>
          <w:p>
            <w:pPr>
              <w:jc w:val="center"/>
              <w:ind w:right="37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center"/>
              <w:ind w:right="29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Boeing 777-300ER</w:t>
            </w:r>
          </w:p>
        </w:tc>
        <w:tc>
          <w:tcPr>
            <w:tcW w:w="2380" w:type="dxa"/>
            <w:vAlign w:val="bottom"/>
          </w:tcPr>
          <w:p>
            <w:pPr>
              <w:jc w:val="center"/>
              <w:ind w:right="10"/>
              <w:spacing w:after="0"/>
              <w:rPr>
                <w:sz w:val="20"/>
                <w:szCs w:val="20"/>
                <w:color w:val="auto"/>
              </w:rPr>
            </w:pPr>
            <w:r>
              <w:rPr>
                <w:rFonts w:ascii="Arial" w:cs="Arial" w:eastAsia="Arial" w:hAnsi="Arial"/>
                <w:sz w:val="18"/>
                <w:szCs w:val="18"/>
                <w:color w:val="auto"/>
                <w:w w:val="99"/>
              </w:rPr>
              <w:t>10</w:t>
            </w:r>
          </w:p>
        </w:tc>
        <w:tc>
          <w:tcPr>
            <w:tcW w:w="2560" w:type="dxa"/>
            <w:vAlign w:val="bottom"/>
          </w:tcPr>
          <w:p>
            <w:pPr>
              <w:jc w:val="center"/>
              <w:ind w:right="37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center"/>
              <w:ind w:right="270"/>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Boeing 787-8</w:t>
            </w: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2560" w:type="dxa"/>
            <w:vAlign w:val="bottom"/>
          </w:tcPr>
          <w:p>
            <w:pPr>
              <w:jc w:val="center"/>
              <w:ind w:right="370"/>
              <w:spacing w:after="0"/>
              <w:rPr>
                <w:sz w:val="20"/>
                <w:szCs w:val="20"/>
                <w:color w:val="auto"/>
              </w:rPr>
            </w:pPr>
            <w:r>
              <w:rPr>
                <w:rFonts w:ascii="Arial" w:cs="Arial" w:eastAsia="Arial" w:hAnsi="Arial"/>
                <w:sz w:val="18"/>
                <w:szCs w:val="18"/>
                <w:color w:val="auto"/>
                <w:w w:val="99"/>
              </w:rPr>
              <w:t>4</w:t>
            </w:r>
          </w:p>
        </w:tc>
        <w:tc>
          <w:tcPr>
            <w:tcW w:w="1920" w:type="dxa"/>
            <w:vAlign w:val="bottom"/>
          </w:tcPr>
          <w:p>
            <w:pPr>
              <w:jc w:val="center"/>
              <w:ind w:right="270"/>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Boeing 787-9</w:t>
            </w: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560" w:type="dxa"/>
            <w:vAlign w:val="bottom"/>
          </w:tcPr>
          <w:p>
            <w:pPr>
              <w:jc w:val="center"/>
              <w:ind w:right="350"/>
              <w:spacing w:after="0"/>
              <w:rPr>
                <w:sz w:val="20"/>
                <w:szCs w:val="20"/>
                <w:color w:val="auto"/>
              </w:rPr>
            </w:pPr>
            <w:r>
              <w:rPr>
                <w:rFonts w:ascii="Arial" w:cs="Arial" w:eastAsia="Arial" w:hAnsi="Arial"/>
                <w:sz w:val="18"/>
                <w:szCs w:val="18"/>
                <w:color w:val="auto"/>
                <w:w w:val="99"/>
              </w:rPr>
              <w:t>26</w:t>
            </w:r>
          </w:p>
        </w:tc>
        <w:tc>
          <w:tcPr>
            <w:tcW w:w="1920" w:type="dxa"/>
            <w:vAlign w:val="bottom"/>
          </w:tcPr>
          <w:p>
            <w:pPr>
              <w:jc w:val="center"/>
              <w:ind w:right="270"/>
              <w:spacing w:after="0"/>
              <w:rPr>
                <w:sz w:val="20"/>
                <w:szCs w:val="20"/>
                <w:color w:val="auto"/>
              </w:rPr>
            </w:pPr>
            <w:r>
              <w:rPr>
                <w:rFonts w:ascii="Arial" w:cs="Arial" w:eastAsia="Arial" w:hAnsi="Arial"/>
                <w:sz w:val="18"/>
                <w:szCs w:val="18"/>
                <w:color w:val="auto"/>
                <w:w w:val="99"/>
              </w:rPr>
              <w:t>28</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Airbus A319-100</w:t>
            </w: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2560" w:type="dxa"/>
            <w:vAlign w:val="bottom"/>
          </w:tcPr>
          <w:p>
            <w:pPr>
              <w:jc w:val="center"/>
              <w:ind w:right="350"/>
              <w:spacing w:after="0"/>
              <w:rPr>
                <w:sz w:val="20"/>
                <w:szCs w:val="20"/>
                <w:color w:val="auto"/>
              </w:rPr>
            </w:pPr>
            <w:r>
              <w:rPr>
                <w:rFonts w:ascii="Arial" w:cs="Arial" w:eastAsia="Arial" w:hAnsi="Arial"/>
                <w:sz w:val="18"/>
                <w:szCs w:val="18"/>
                <w:color w:val="auto"/>
                <w:w w:val="99"/>
              </w:rPr>
              <w:t>28</w:t>
            </w:r>
          </w:p>
        </w:tc>
        <w:tc>
          <w:tcPr>
            <w:tcW w:w="1920" w:type="dxa"/>
            <w:vAlign w:val="bottom"/>
          </w:tcPr>
          <w:p>
            <w:pPr>
              <w:jc w:val="center"/>
              <w:ind w:right="270"/>
              <w:spacing w:after="0"/>
              <w:rPr>
                <w:sz w:val="20"/>
                <w:szCs w:val="20"/>
                <w:color w:val="auto"/>
              </w:rPr>
            </w:pPr>
            <w:r>
              <w:rPr>
                <w:rFonts w:ascii="Arial" w:cs="Arial" w:eastAsia="Arial" w:hAnsi="Arial"/>
                <w:sz w:val="18"/>
                <w:szCs w:val="18"/>
                <w:color w:val="auto"/>
                <w:w w:val="99"/>
              </w:rPr>
              <w:t>39</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Airbus A320-200</w:t>
            </w:r>
          </w:p>
        </w:tc>
        <w:tc>
          <w:tcPr>
            <w:tcW w:w="2380" w:type="dxa"/>
            <w:vAlign w:val="bottom"/>
          </w:tcPr>
          <w:p>
            <w:pPr>
              <w:jc w:val="center"/>
              <w:ind w:right="10"/>
              <w:spacing w:after="0"/>
              <w:rPr>
                <w:sz w:val="20"/>
                <w:szCs w:val="20"/>
                <w:color w:val="auto"/>
              </w:rPr>
            </w:pPr>
            <w:r>
              <w:rPr>
                <w:rFonts w:ascii="Arial" w:cs="Arial" w:eastAsia="Arial" w:hAnsi="Arial"/>
                <w:sz w:val="18"/>
                <w:szCs w:val="18"/>
                <w:color w:val="auto"/>
                <w:w w:val="99"/>
              </w:rPr>
              <w:t>86</w:t>
            </w:r>
          </w:p>
        </w:tc>
        <w:tc>
          <w:tcPr>
            <w:tcW w:w="2560" w:type="dxa"/>
            <w:vAlign w:val="bottom"/>
          </w:tcPr>
          <w:p>
            <w:pPr>
              <w:jc w:val="center"/>
              <w:ind w:right="350"/>
              <w:spacing w:after="0"/>
              <w:rPr>
                <w:sz w:val="20"/>
                <w:szCs w:val="20"/>
                <w:color w:val="auto"/>
              </w:rPr>
            </w:pPr>
            <w:r>
              <w:rPr>
                <w:rFonts w:ascii="Arial" w:cs="Arial" w:eastAsia="Arial" w:hAnsi="Arial"/>
                <w:sz w:val="18"/>
                <w:szCs w:val="18"/>
                <w:color w:val="auto"/>
                <w:w w:val="99"/>
              </w:rPr>
              <w:t>49</w:t>
            </w:r>
          </w:p>
        </w:tc>
        <w:tc>
          <w:tcPr>
            <w:tcW w:w="1920" w:type="dxa"/>
            <w:vAlign w:val="bottom"/>
          </w:tcPr>
          <w:p>
            <w:pPr>
              <w:jc w:val="center"/>
              <w:ind w:right="290"/>
              <w:spacing w:after="0"/>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Airbus A320-Neo</w:t>
            </w: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2560" w:type="dxa"/>
            <w:vAlign w:val="bottom"/>
          </w:tcPr>
          <w:p>
            <w:pPr>
              <w:jc w:val="center"/>
              <w:ind w:right="350"/>
              <w:spacing w:after="0"/>
              <w:rPr>
                <w:sz w:val="20"/>
                <w:szCs w:val="20"/>
                <w:color w:val="auto"/>
              </w:rPr>
            </w:pPr>
            <w:r>
              <w:rPr>
                <w:rFonts w:ascii="Arial" w:cs="Arial" w:eastAsia="Arial" w:hAnsi="Arial"/>
                <w:sz w:val="18"/>
                <w:szCs w:val="18"/>
                <w:color w:val="auto"/>
                <w:w w:val="99"/>
              </w:rPr>
              <w:t>44</w:t>
            </w:r>
          </w:p>
        </w:tc>
        <w:tc>
          <w:tcPr>
            <w:tcW w:w="1920" w:type="dxa"/>
            <w:vAlign w:val="bottom"/>
          </w:tcPr>
          <w:p>
            <w:pPr>
              <w:jc w:val="center"/>
              <w:ind w:right="270"/>
              <w:spacing w:after="0"/>
              <w:rPr>
                <w:sz w:val="20"/>
                <w:szCs w:val="20"/>
                <w:color w:val="auto"/>
              </w:rPr>
            </w:pPr>
            <w:r>
              <w:rPr>
                <w:rFonts w:ascii="Arial" w:cs="Arial" w:eastAsia="Arial" w:hAnsi="Arial"/>
                <w:sz w:val="18"/>
                <w:szCs w:val="18"/>
                <w:color w:val="auto"/>
                <w:w w:val="99"/>
              </w:rPr>
              <w:t>52</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Airbus A321-200</w:t>
            </w:r>
          </w:p>
        </w:tc>
        <w:tc>
          <w:tcPr>
            <w:tcW w:w="2380" w:type="dxa"/>
            <w:vAlign w:val="bottom"/>
          </w:tcPr>
          <w:p>
            <w:pPr>
              <w:jc w:val="center"/>
              <w:ind w:right="10"/>
              <w:spacing w:after="0"/>
              <w:rPr>
                <w:sz w:val="20"/>
                <w:szCs w:val="20"/>
                <w:color w:val="auto"/>
              </w:rPr>
            </w:pPr>
            <w:r>
              <w:rPr>
                <w:rFonts w:ascii="Arial" w:cs="Arial" w:eastAsia="Arial" w:hAnsi="Arial"/>
                <w:sz w:val="18"/>
                <w:szCs w:val="18"/>
                <w:color w:val="auto"/>
                <w:w w:val="99"/>
              </w:rPr>
              <w:t>30</w:t>
            </w:r>
          </w:p>
        </w:tc>
        <w:tc>
          <w:tcPr>
            <w:tcW w:w="2560" w:type="dxa"/>
            <w:vAlign w:val="bottom"/>
          </w:tcPr>
          <w:p>
            <w:pPr>
              <w:jc w:val="center"/>
              <w:ind w:right="350"/>
              <w:spacing w:after="0"/>
              <w:rPr>
                <w:sz w:val="20"/>
                <w:szCs w:val="20"/>
                <w:color w:val="auto"/>
              </w:rPr>
            </w:pPr>
            <w:r>
              <w:rPr>
                <w:rFonts w:ascii="Arial" w:cs="Arial" w:eastAsia="Arial" w:hAnsi="Arial"/>
                <w:sz w:val="18"/>
                <w:szCs w:val="18"/>
                <w:color w:val="auto"/>
                <w:w w:val="99"/>
              </w:rPr>
              <w:t>19</w:t>
            </w:r>
          </w:p>
        </w:tc>
        <w:tc>
          <w:tcPr>
            <w:tcW w:w="1920" w:type="dxa"/>
            <w:vAlign w:val="bottom"/>
          </w:tcPr>
          <w:p>
            <w:pPr>
              <w:jc w:val="center"/>
              <w:ind w:right="270"/>
              <w:spacing w:after="0"/>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235"/>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Airbus A321-Neo</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256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w w:val="99"/>
              </w:rPr>
              <w:t>15</w:t>
            </w:r>
          </w:p>
        </w:tc>
        <w:tc>
          <w:tcPr>
            <w:tcW w:w="19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240"/>
        </w:trPr>
        <w:tc>
          <w:tcPr>
            <w:tcW w:w="4320" w:type="dxa"/>
            <w:vAlign w:val="bottom"/>
          </w:tcPr>
          <w:p>
            <w:pPr>
              <w:ind w:left="60"/>
              <w:spacing w:after="0"/>
              <w:rPr>
                <w:sz w:val="20"/>
                <w:szCs w:val="20"/>
                <w:color w:val="auto"/>
              </w:rPr>
            </w:pPr>
            <w:r>
              <w:rPr>
                <w:rFonts w:ascii="Arial" w:cs="Arial" w:eastAsia="Arial" w:hAnsi="Arial"/>
                <w:sz w:val="18"/>
                <w:szCs w:val="18"/>
                <w:b w:val="1"/>
                <w:bCs w:val="1"/>
                <w:color w:val="auto"/>
              </w:rPr>
              <w:t>TOTAL</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9"/>
              </w:rPr>
              <w:t>167</w:t>
            </w:r>
          </w:p>
        </w:tc>
        <w:tc>
          <w:tcPr>
            <w:tcW w:w="2560" w:type="dxa"/>
            <w:vAlign w:val="bottom"/>
          </w:tcPr>
          <w:p>
            <w:pPr>
              <w:jc w:val="center"/>
              <w:ind w:right="370"/>
              <w:spacing w:after="0"/>
              <w:rPr>
                <w:sz w:val="20"/>
                <w:szCs w:val="20"/>
                <w:color w:val="auto"/>
              </w:rPr>
            </w:pPr>
            <w:r>
              <w:rPr>
                <w:rFonts w:ascii="Arial" w:cs="Arial" w:eastAsia="Arial" w:hAnsi="Arial"/>
                <w:sz w:val="18"/>
                <w:szCs w:val="18"/>
                <w:b w:val="1"/>
                <w:bCs w:val="1"/>
                <w:color w:val="auto"/>
                <w:w w:val="99"/>
              </w:rPr>
              <w:t>185</w:t>
            </w:r>
          </w:p>
        </w:tc>
        <w:tc>
          <w:tcPr>
            <w:tcW w:w="1920" w:type="dxa"/>
            <w:vAlign w:val="bottom"/>
          </w:tcPr>
          <w:p>
            <w:pPr>
              <w:jc w:val="center"/>
              <w:ind w:right="290"/>
              <w:spacing w:after="0"/>
              <w:rPr>
                <w:sz w:val="20"/>
                <w:szCs w:val="20"/>
                <w:color w:val="auto"/>
              </w:rPr>
            </w:pPr>
            <w:r>
              <w:rPr>
                <w:rFonts w:ascii="Arial" w:cs="Arial" w:eastAsia="Arial" w:hAnsi="Arial"/>
                <w:sz w:val="18"/>
                <w:szCs w:val="18"/>
                <w:b w:val="1"/>
                <w:bCs w:val="1"/>
                <w:color w:val="auto"/>
                <w:w w:val="99"/>
              </w:rPr>
              <w:t>352</w:t>
            </w:r>
          </w:p>
        </w:tc>
        <w:tc>
          <w:tcPr>
            <w:tcW w:w="0" w:type="dxa"/>
            <w:vAlign w:val="bottom"/>
          </w:tcPr>
          <w:p>
            <w:pPr>
              <w:spacing w:after="0"/>
              <w:rPr>
                <w:sz w:val="1"/>
                <w:szCs w:val="1"/>
                <w:color w:val="auto"/>
              </w:rPr>
            </w:pPr>
          </w:p>
        </w:tc>
      </w:tr>
      <w:tr>
        <w:trPr>
          <w:trHeight w:val="423"/>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Short-term leases</w:t>
            </w:r>
          </w:p>
        </w:tc>
        <w:tc>
          <w:tcPr>
            <w:tcW w:w="23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Airbus A330-200</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56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color w:val="auto"/>
                <w:w w:val="99"/>
              </w:rPr>
              <w:t>3</w:t>
            </w:r>
          </w:p>
        </w:tc>
        <w:tc>
          <w:tcPr>
            <w:tcW w:w="192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40"/>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560" w:type="dxa"/>
            <w:vAlign w:val="bottom"/>
          </w:tcPr>
          <w:p>
            <w:pPr>
              <w:jc w:val="center"/>
              <w:ind w:right="370"/>
              <w:spacing w:after="0"/>
              <w:rPr>
                <w:sz w:val="20"/>
                <w:szCs w:val="20"/>
                <w:color w:val="auto"/>
              </w:rPr>
            </w:pPr>
            <w:r>
              <w:rPr>
                <w:rFonts w:ascii="Arial" w:cs="Arial" w:eastAsia="Arial" w:hAnsi="Arial"/>
                <w:sz w:val="18"/>
                <w:szCs w:val="18"/>
                <w:b w:val="1"/>
                <w:bCs w:val="1"/>
                <w:color w:val="auto"/>
                <w:w w:val="99"/>
              </w:rPr>
              <w:t>3</w:t>
            </w:r>
          </w:p>
        </w:tc>
        <w:tc>
          <w:tcPr>
            <w:tcW w:w="1920" w:type="dxa"/>
            <w:vAlign w:val="bottom"/>
          </w:tcPr>
          <w:p>
            <w:pPr>
              <w:jc w:val="center"/>
              <w:ind w:right="290"/>
              <w:spacing w:after="0"/>
              <w:rPr>
                <w:sz w:val="20"/>
                <w:szCs w:val="20"/>
                <w:color w:val="auto"/>
              </w:rPr>
            </w:pPr>
            <w:r>
              <w:rPr>
                <w:rFonts w:ascii="Arial" w:cs="Arial" w:eastAsia="Arial" w:hAnsi="Arial"/>
                <w:sz w:val="18"/>
                <w:szCs w:val="18"/>
                <w:b w:val="1"/>
                <w:bCs w:val="1"/>
                <w:color w:val="auto"/>
                <w:w w:val="99"/>
              </w:rPr>
              <w:t>3</w:t>
            </w:r>
          </w:p>
        </w:tc>
        <w:tc>
          <w:tcPr>
            <w:tcW w:w="0" w:type="dxa"/>
            <w:vAlign w:val="bottom"/>
          </w:tcPr>
          <w:p>
            <w:pPr>
              <w:spacing w:after="0"/>
              <w:rPr>
                <w:sz w:val="1"/>
                <w:szCs w:val="1"/>
                <w:color w:val="auto"/>
              </w:rPr>
            </w:pPr>
          </w:p>
        </w:tc>
      </w:tr>
      <w:tr>
        <w:trPr>
          <w:trHeight w:val="423"/>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Cargo Aircraft</w:t>
            </w:r>
          </w:p>
        </w:tc>
        <w:tc>
          <w:tcPr>
            <w:tcW w:w="23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Boeing 767-300F</w:t>
            </w:r>
          </w:p>
        </w:tc>
        <w:tc>
          <w:tcPr>
            <w:tcW w:w="23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19</w:t>
            </w:r>
          </w:p>
        </w:tc>
        <w:tc>
          <w:tcPr>
            <w:tcW w:w="256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color w:val="auto"/>
                <w:w w:val="99"/>
              </w:rPr>
              <w:t>1</w:t>
            </w:r>
          </w:p>
        </w:tc>
        <w:tc>
          <w:tcPr>
            <w:tcW w:w="19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240"/>
        </w:trPr>
        <w:tc>
          <w:tcPr>
            <w:tcW w:w="4320" w:type="dxa"/>
            <w:vAlign w:val="bottom"/>
          </w:tcPr>
          <w:p>
            <w:pPr>
              <w:ind w:left="60"/>
              <w:spacing w:after="0"/>
              <w:rPr>
                <w:sz w:val="20"/>
                <w:szCs w:val="20"/>
                <w:color w:val="auto"/>
              </w:rPr>
            </w:pPr>
            <w:r>
              <w:rPr>
                <w:rFonts w:ascii="Arial" w:cs="Arial" w:eastAsia="Arial" w:hAnsi="Arial"/>
                <w:sz w:val="18"/>
                <w:szCs w:val="18"/>
                <w:b w:val="1"/>
                <w:bCs w:val="1"/>
                <w:color w:val="auto"/>
              </w:rPr>
              <w:t>TOTAL</w:t>
            </w:r>
          </w:p>
        </w:tc>
        <w:tc>
          <w:tcPr>
            <w:tcW w:w="238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19</w:t>
            </w:r>
          </w:p>
        </w:tc>
        <w:tc>
          <w:tcPr>
            <w:tcW w:w="2560" w:type="dxa"/>
            <w:vAlign w:val="bottom"/>
          </w:tcPr>
          <w:p>
            <w:pPr>
              <w:jc w:val="center"/>
              <w:ind w:right="370"/>
              <w:spacing w:after="0"/>
              <w:rPr>
                <w:sz w:val="20"/>
                <w:szCs w:val="20"/>
                <w:color w:val="auto"/>
              </w:rPr>
            </w:pPr>
            <w:r>
              <w:rPr>
                <w:rFonts w:ascii="Arial" w:cs="Arial" w:eastAsia="Arial" w:hAnsi="Arial"/>
                <w:sz w:val="18"/>
                <w:szCs w:val="18"/>
                <w:b w:val="1"/>
                <w:bCs w:val="1"/>
                <w:color w:val="auto"/>
                <w:w w:val="99"/>
              </w:rPr>
              <w:t>1</w:t>
            </w:r>
          </w:p>
        </w:tc>
        <w:tc>
          <w:tcPr>
            <w:tcW w:w="1920" w:type="dxa"/>
            <w:vAlign w:val="bottom"/>
          </w:tcPr>
          <w:p>
            <w:pPr>
              <w:jc w:val="center"/>
              <w:ind w:right="270"/>
              <w:spacing w:after="0"/>
              <w:rPr>
                <w:sz w:val="20"/>
                <w:szCs w:val="20"/>
                <w:color w:val="auto"/>
              </w:rPr>
            </w:pPr>
            <w:r>
              <w:rPr>
                <w:rFonts w:ascii="Arial" w:cs="Arial" w:eastAsia="Arial" w:hAnsi="Arial"/>
                <w:sz w:val="18"/>
                <w:szCs w:val="18"/>
                <w:b w:val="1"/>
                <w:bCs w:val="1"/>
                <w:color w:val="auto"/>
                <w:w w:val="99"/>
              </w:rPr>
              <w:t>20</w:t>
            </w:r>
          </w:p>
        </w:tc>
        <w:tc>
          <w:tcPr>
            <w:tcW w:w="0" w:type="dxa"/>
            <w:vAlign w:val="bottom"/>
          </w:tcPr>
          <w:p>
            <w:pPr>
              <w:spacing w:after="0"/>
              <w:rPr>
                <w:sz w:val="1"/>
                <w:szCs w:val="1"/>
                <w:color w:val="auto"/>
              </w:rPr>
            </w:pPr>
          </w:p>
        </w:tc>
      </w:tr>
      <w:tr>
        <w:trPr>
          <w:trHeight w:val="199"/>
        </w:trPr>
        <w:tc>
          <w:tcPr>
            <w:tcW w:w="43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FLEET</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186</w:t>
            </w:r>
          </w:p>
        </w:tc>
        <w:tc>
          <w:tcPr>
            <w:tcW w:w="256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99"/>
              </w:rPr>
              <w:t>189</w:t>
            </w:r>
          </w:p>
        </w:tc>
        <w:tc>
          <w:tcPr>
            <w:tcW w:w="192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9"/>
              </w:rPr>
              <w:t>375</w:t>
            </w:r>
          </w:p>
        </w:tc>
        <w:tc>
          <w:tcPr>
            <w:tcW w:w="0" w:type="dxa"/>
            <w:vAlign w:val="bottom"/>
          </w:tcPr>
          <w:p>
            <w:pPr>
              <w:spacing w:after="0"/>
              <w:rPr>
                <w:sz w:val="1"/>
                <w:szCs w:val="1"/>
                <w:color w:val="auto"/>
              </w:rPr>
            </w:pPr>
          </w:p>
        </w:tc>
      </w:tr>
      <w:tr>
        <w:trPr>
          <w:trHeight w:val="34"/>
        </w:trPr>
        <w:tc>
          <w:tcPr>
            <w:tcW w:w="43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color w:val="6D6D6D"/>
        </w:rPr>
        <w:t xml:space="preserve">Note: </w:t>
      </w:r>
      <w:r>
        <w:rPr>
          <w:rFonts w:ascii="Arial" w:cs="Arial" w:eastAsia="Arial" w:hAnsi="Arial"/>
          <w:sz w:val="14"/>
          <w:szCs w:val="14"/>
          <w:color w:val="6D6D6D"/>
        </w:rPr>
        <w:t>This table includes 1 Boeing 767-300F that was reclassified from Property, Plant and Equipment to Assets Held for Sale.</w:t>
      </w:r>
    </w:p>
    <w:p>
      <w:pPr>
        <w:sectPr>
          <w:pgSz w:w="11900" w:h="16838" w:orient="portrait"/>
          <w:cols w:equalWidth="0" w:num="1">
            <w:col w:w="11220"/>
          </w:cols>
          <w:pgMar w:left="320" w:top="322" w:right="359"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7F7F7F"/>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863590" cy="68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63590" cy="68580"/>
                    </a:xfrm>
                    <a:prstGeom prst="rect">
                      <a:avLst/>
                    </a:prstGeom>
                    <a:noFill/>
                  </pic:spPr>
                </pic:pic>
              </a:graphicData>
            </a:graphic>
          </wp:anchor>
        </w:drawing>
      </w:r>
    </w:p>
    <w:p>
      <w:pPr>
        <w:sectPr>
          <w:pgSz w:w="11900" w:h="16838" w:orient="portrait"/>
          <w:cols w:equalWidth="0" w:num="1">
            <w:col w:w="11220"/>
          </w:cols>
          <w:pgMar w:left="320" w:top="322" w:right="359" w:bottom="174" w:gutter="0" w:footer="0" w:header="0"/>
          <w:type w:val="continuous"/>
        </w:sectPr>
      </w:pPr>
    </w:p>
    <w:bookmarkStart w:id="19" w:name="page20"/>
    <w:bookmarkEnd w:id="19"/>
    <w:p>
      <w:pPr>
        <w:ind w:left="140" w:right="10120"/>
        <w:spacing w:after="0" w:line="249" w:lineRule="auto"/>
        <w:rPr>
          <w:sz w:val="20"/>
          <w:szCs w:val="20"/>
          <w:color w:val="auto"/>
        </w:rPr>
      </w:pPr>
      <w:r>
        <w:rPr>
          <w:rFonts w:ascii="Arial" w:cs="Arial" w:eastAsia="Arial" w:hAnsi="Arial"/>
          <w:sz w:val="25"/>
          <w:szCs w:val="25"/>
          <w:i w:val="1"/>
          <w:i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5829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582930"/>
                    </a:xfrm>
                    <a:prstGeom prst="rect">
                      <a:avLst/>
                    </a:prstGeom>
                    <a:noFill/>
                  </pic:spPr>
                </pic:pic>
              </a:graphicData>
            </a:graphic>
          </wp:anchor>
        </w:drawing>
        <w:t>1Q 2026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LATAM Airlines Group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Reconciliation of Reported Amounts to Non-GAAP Items </w:t>
      </w:r>
      <w:r>
        <w:rPr>
          <w:rFonts w:ascii="Arial" w:cs="Arial" w:eastAsia="Arial" w:hAnsi="Arial"/>
          <w:sz w:val="18"/>
          <w:szCs w:val="18"/>
          <w:color w:val="auto"/>
        </w:rPr>
        <w:t>(in thousands of US Dollars)</w:t>
      </w:r>
    </w:p>
    <w:p>
      <w:pPr>
        <w:spacing w:after="0" w:line="248" w:lineRule="exact"/>
        <w:rPr>
          <w:sz w:val="20"/>
          <w:szCs w:val="20"/>
          <w:color w:val="auto"/>
        </w:rPr>
      </w:pPr>
    </w:p>
    <w:p>
      <w:pPr>
        <w:spacing w:after="0" w:line="221" w:lineRule="auto"/>
        <w:rPr>
          <w:sz w:val="20"/>
          <w:szCs w:val="20"/>
          <w:color w:val="auto"/>
        </w:rPr>
      </w:pPr>
      <w:r>
        <w:rPr>
          <w:rFonts w:ascii="Arial" w:cs="Arial" w:eastAsia="Arial" w:hAnsi="Arial"/>
          <w:sz w:val="14"/>
          <w:szCs w:val="14"/>
          <w:color w:val="auto"/>
        </w:rPr>
        <w:t>LATAM Airlines Group S.A. ("LATAM" or "the Company") prepares its financial statements under “International Financial Reporting Standards” (“IFRS”) as issued by the IASB, however, for ease of presentation and comparison, the Income Statement in this report is presented in an Adapted by Nature Format. On some occasions, adjustments to these</w:t>
      </w:r>
    </w:p>
    <w:p>
      <w:pPr>
        <w:spacing w:after="0" w:line="222" w:lineRule="auto"/>
        <w:rPr>
          <w:sz w:val="20"/>
          <w:szCs w:val="20"/>
          <w:color w:val="auto"/>
        </w:rPr>
      </w:pPr>
      <w:r>
        <w:rPr>
          <w:rFonts w:ascii="Arial" w:cs="Arial" w:eastAsia="Arial" w:hAnsi="Arial"/>
          <w:sz w:val="14"/>
          <w:szCs w:val="14"/>
          <w:color w:val="auto"/>
        </w:rPr>
        <w:t>Income Statement figures are made for Special Items. These adjustments to include or exclude special items allows management an additional tool to understand and analyze</w:t>
      </w:r>
    </w:p>
    <w:p>
      <w:pPr>
        <w:spacing w:after="0" w:line="1" w:lineRule="exact"/>
        <w:rPr>
          <w:sz w:val="20"/>
          <w:szCs w:val="20"/>
          <w:color w:val="auto"/>
        </w:rPr>
      </w:pPr>
    </w:p>
    <w:p>
      <w:pPr>
        <w:spacing w:after="0" w:line="211" w:lineRule="auto"/>
        <w:rPr>
          <w:sz w:val="20"/>
          <w:szCs w:val="20"/>
          <w:color w:val="auto"/>
        </w:rPr>
      </w:pPr>
      <w:r>
        <w:rPr>
          <w:rFonts w:ascii="Arial" w:cs="Arial" w:eastAsia="Arial" w:hAnsi="Arial"/>
          <w:sz w:val="14"/>
          <w:szCs w:val="14"/>
          <w:color w:val="auto"/>
        </w:rPr>
        <w:t>its core operating performance and allow for more meaningful comparison in the industry. Therefore, LATAM believes these non-GAAP financial measures, derived from the consolidated financial statements but not presented in accordance with IFRS, may provide useful information to investors and others. In this table, you can find a reconciliation</w:t>
      </w:r>
    </w:p>
    <w:p>
      <w:pPr>
        <w:ind w:right="20"/>
        <w:spacing w:after="0" w:line="244" w:lineRule="auto"/>
        <w:rPr>
          <w:sz w:val="20"/>
          <w:szCs w:val="20"/>
          <w:color w:val="auto"/>
        </w:rPr>
      </w:pPr>
      <w:r>
        <w:rPr>
          <w:rFonts w:ascii="Arial" w:cs="Arial" w:eastAsia="Arial" w:hAnsi="Arial"/>
          <w:sz w:val="14"/>
          <w:szCs w:val="14"/>
          <w:color w:val="auto"/>
        </w:rPr>
        <w:t>of the IFRS and the Adapted by Nature Format as LATAM reports its Income Statement in this earnings release for ease of comparison and further disclosure, as well as the adjustments made for Special Items.</w:t>
      </w:r>
    </w:p>
    <w:p>
      <w:pPr>
        <w:spacing w:after="0" w:line="185"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These non-GAAP items may not be comparable to similarly titled non-GAAP items of other companies and should be considered in addition to results prepared in accordance with GAAP, but should not be considered a substitute for or superior to GAAP results. The tables below show these reconciliations: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0" w:type="dxa"/>
            <w:vAlign w:val="bottom"/>
            <w:shd w:val="clear" w:color="auto" w:fill="1B0088"/>
          </w:tcPr>
          <w:p>
            <w:pPr>
              <w:spacing w:after="0"/>
              <w:rPr>
                <w:sz w:val="17"/>
                <w:szCs w:val="17"/>
                <w:color w:val="auto"/>
              </w:rPr>
            </w:pPr>
          </w:p>
        </w:tc>
        <w:tc>
          <w:tcPr>
            <w:tcW w:w="2040" w:type="dxa"/>
            <w:vAlign w:val="bottom"/>
            <w:shd w:val="clear" w:color="auto" w:fill="1B0088"/>
          </w:tcPr>
          <w:p>
            <w:pPr>
              <w:spacing w:after="0"/>
              <w:rPr>
                <w:sz w:val="17"/>
                <w:szCs w:val="17"/>
                <w:color w:val="auto"/>
              </w:rPr>
            </w:pPr>
          </w:p>
        </w:tc>
        <w:tc>
          <w:tcPr>
            <w:tcW w:w="3440" w:type="dxa"/>
            <w:vAlign w:val="bottom"/>
            <w:shd w:val="clear" w:color="auto" w:fill="1B0088"/>
          </w:tcPr>
          <w:p>
            <w:pPr>
              <w:ind w:left="380"/>
              <w:spacing w:after="0"/>
              <w:rPr>
                <w:sz w:val="20"/>
                <w:szCs w:val="20"/>
                <w:color w:val="auto"/>
              </w:rPr>
            </w:pPr>
            <w:r>
              <w:rPr>
                <w:rFonts w:ascii="Arial" w:cs="Arial" w:eastAsia="Arial" w:hAnsi="Arial"/>
                <w:sz w:val="13"/>
                <w:szCs w:val="13"/>
                <w:color w:val="FFFFFF"/>
              </w:rPr>
              <w:t>For the three month period ended March 31,</w:t>
            </w:r>
          </w:p>
        </w:tc>
        <w:tc>
          <w:tcPr>
            <w:tcW w:w="1940" w:type="dxa"/>
            <w:vAlign w:val="bottom"/>
            <w:shd w:val="clear" w:color="auto" w:fill="1B0088"/>
          </w:tcPr>
          <w:p>
            <w:pPr>
              <w:spacing w:after="0"/>
              <w:rPr>
                <w:sz w:val="17"/>
                <w:szCs w:val="17"/>
                <w:color w:val="auto"/>
              </w:rPr>
            </w:pPr>
          </w:p>
        </w:tc>
      </w:tr>
      <w:tr>
        <w:trPr>
          <w:trHeight w:val="208"/>
        </w:trPr>
        <w:tc>
          <w:tcPr>
            <w:tcW w:w="3800" w:type="dxa"/>
            <w:vAlign w:val="bottom"/>
            <w:tcBorders>
              <w:bottom w:val="single" w:sz="8" w:color="1B0088"/>
            </w:tcBorders>
            <w:shd w:val="clear" w:color="auto" w:fill="1B0088"/>
          </w:tcPr>
          <w:p>
            <w:pPr>
              <w:spacing w:after="0"/>
              <w:rPr>
                <w:sz w:val="18"/>
                <w:szCs w:val="18"/>
                <w:color w:val="auto"/>
              </w:rPr>
            </w:pPr>
          </w:p>
        </w:tc>
        <w:tc>
          <w:tcPr>
            <w:tcW w:w="2040" w:type="dxa"/>
            <w:vAlign w:val="bottom"/>
            <w:tcBorders>
              <w:bottom w:val="single" w:sz="8" w:color="1B0088"/>
            </w:tcBorders>
            <w:shd w:val="clear" w:color="auto" w:fill="1B0088"/>
          </w:tcPr>
          <w:p>
            <w:pPr>
              <w:jc w:val="center"/>
              <w:ind w:left="513"/>
              <w:spacing w:after="0"/>
              <w:rPr>
                <w:sz w:val="20"/>
                <w:szCs w:val="20"/>
                <w:color w:val="auto"/>
              </w:rPr>
            </w:pPr>
            <w:r>
              <w:rPr>
                <w:rFonts w:ascii="Arial" w:cs="Arial" w:eastAsia="Arial" w:hAnsi="Arial"/>
                <w:sz w:val="13"/>
                <w:szCs w:val="13"/>
                <w:color w:val="FFFFFF"/>
              </w:rPr>
              <w:t>2026</w:t>
            </w:r>
          </w:p>
        </w:tc>
        <w:tc>
          <w:tcPr>
            <w:tcW w:w="3440" w:type="dxa"/>
            <w:vAlign w:val="bottom"/>
            <w:tcBorders>
              <w:bottom w:val="single" w:sz="8" w:color="1B0088"/>
            </w:tcBorders>
            <w:shd w:val="clear" w:color="auto" w:fill="1B0088"/>
          </w:tcPr>
          <w:p>
            <w:pPr>
              <w:jc w:val="center"/>
              <w:spacing w:after="0"/>
              <w:rPr>
                <w:sz w:val="20"/>
                <w:szCs w:val="20"/>
                <w:color w:val="auto"/>
              </w:rPr>
            </w:pPr>
            <w:r>
              <w:rPr>
                <w:rFonts w:ascii="Arial" w:cs="Arial" w:eastAsia="Arial" w:hAnsi="Arial"/>
                <w:sz w:val="13"/>
                <w:szCs w:val="13"/>
                <w:color w:val="FFFFFF"/>
              </w:rPr>
              <w:t>2025</w:t>
            </w:r>
          </w:p>
        </w:tc>
        <w:tc>
          <w:tcPr>
            <w:tcW w:w="1940" w:type="dxa"/>
            <w:vAlign w:val="bottom"/>
            <w:tcBorders>
              <w:bottom w:val="single" w:sz="8" w:color="1B0088"/>
            </w:tcBorders>
            <w:shd w:val="clear" w:color="auto" w:fill="1B0088"/>
          </w:tcPr>
          <w:p>
            <w:pPr>
              <w:jc w:val="center"/>
              <w:ind w:right="453"/>
              <w:spacing w:after="0"/>
              <w:rPr>
                <w:sz w:val="20"/>
                <w:szCs w:val="20"/>
                <w:color w:val="auto"/>
              </w:rPr>
            </w:pPr>
            <w:r>
              <w:rPr>
                <w:rFonts w:ascii="Arial" w:cs="Arial" w:eastAsia="Arial" w:hAnsi="Arial"/>
                <w:sz w:val="13"/>
                <w:szCs w:val="13"/>
                <w:color w:val="FFFFFF"/>
              </w:rPr>
              <w:t>% Change</w:t>
            </w:r>
          </w:p>
        </w:tc>
      </w:tr>
      <w:tr>
        <w:trPr>
          <w:trHeight w:val="279"/>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Cost of sales</w:t>
            </w:r>
          </w:p>
        </w:tc>
        <w:tc>
          <w:tcPr>
            <w:tcW w:w="2040" w:type="dxa"/>
            <w:vAlign w:val="bottom"/>
          </w:tcPr>
          <w:p>
            <w:pPr>
              <w:jc w:val="center"/>
              <w:ind w:left="493"/>
              <w:spacing w:after="0"/>
              <w:rPr>
                <w:sz w:val="20"/>
                <w:szCs w:val="20"/>
                <w:color w:val="auto"/>
              </w:rPr>
            </w:pPr>
            <w:r>
              <w:rPr>
                <w:rFonts w:ascii="Arial" w:cs="Arial" w:eastAsia="Arial" w:hAnsi="Arial"/>
                <w:sz w:val="13"/>
                <w:szCs w:val="13"/>
                <w:b w:val="1"/>
                <w:bCs w:val="1"/>
                <w:color w:val="auto"/>
              </w:rPr>
              <w:t>(2,803,375)</w:t>
            </w:r>
          </w:p>
        </w:tc>
        <w:tc>
          <w:tcPr>
            <w:tcW w:w="3440" w:type="dxa"/>
            <w:vAlign w:val="bottom"/>
          </w:tcPr>
          <w:p>
            <w:pPr>
              <w:jc w:val="center"/>
              <w:spacing w:after="0"/>
              <w:rPr>
                <w:sz w:val="20"/>
                <w:szCs w:val="20"/>
                <w:color w:val="auto"/>
              </w:rPr>
            </w:pPr>
            <w:r>
              <w:rPr>
                <w:rFonts w:ascii="Arial" w:cs="Arial" w:eastAsia="Arial" w:hAnsi="Arial"/>
                <w:sz w:val="13"/>
                <w:szCs w:val="13"/>
                <w:b w:val="1"/>
                <w:bCs w:val="1"/>
                <w:color w:val="auto"/>
              </w:rPr>
              <w:t>(2,399,882)</w:t>
            </w:r>
          </w:p>
        </w:tc>
        <w:tc>
          <w:tcPr>
            <w:tcW w:w="1940" w:type="dxa"/>
            <w:vAlign w:val="bottom"/>
          </w:tcPr>
          <w:p>
            <w:pPr>
              <w:jc w:val="center"/>
              <w:ind w:right="453"/>
              <w:spacing w:after="0"/>
              <w:rPr>
                <w:sz w:val="20"/>
                <w:szCs w:val="20"/>
                <w:color w:val="auto"/>
              </w:rPr>
            </w:pPr>
            <w:r>
              <w:rPr>
                <w:rFonts w:ascii="Arial" w:cs="Arial" w:eastAsia="Arial" w:hAnsi="Arial"/>
                <w:sz w:val="13"/>
                <w:szCs w:val="13"/>
                <w:b w:val="1"/>
                <w:bCs w:val="1"/>
                <w:color w:val="auto"/>
              </w:rPr>
              <w:t>16.8%</w:t>
            </w:r>
          </w:p>
        </w:tc>
      </w:tr>
      <w:tr>
        <w:trPr>
          <w:trHeight w:val="181"/>
        </w:trPr>
        <w:tc>
          <w:tcPr>
            <w:tcW w:w="3800" w:type="dxa"/>
            <w:vAlign w:val="bottom"/>
          </w:tcPr>
          <w:p>
            <w:pPr>
              <w:ind w:left="20"/>
              <w:spacing w:after="0"/>
              <w:rPr>
                <w:sz w:val="20"/>
                <w:szCs w:val="20"/>
                <w:color w:val="auto"/>
              </w:rPr>
            </w:pPr>
            <w:r>
              <w:rPr>
                <w:rFonts w:ascii="Arial" w:cs="Arial" w:eastAsia="Arial" w:hAnsi="Arial"/>
                <w:sz w:val="13"/>
                <w:szCs w:val="13"/>
                <w:color w:val="auto"/>
              </w:rPr>
              <w:t>Distribution costs</w:t>
            </w:r>
          </w:p>
        </w:tc>
        <w:tc>
          <w:tcPr>
            <w:tcW w:w="2040" w:type="dxa"/>
            <w:vAlign w:val="bottom"/>
          </w:tcPr>
          <w:p>
            <w:pPr>
              <w:jc w:val="center"/>
              <w:ind w:left="513"/>
              <w:spacing w:after="0"/>
              <w:rPr>
                <w:sz w:val="20"/>
                <w:szCs w:val="20"/>
                <w:color w:val="auto"/>
              </w:rPr>
            </w:pPr>
            <w:r>
              <w:rPr>
                <w:rFonts w:ascii="Arial" w:cs="Arial" w:eastAsia="Arial" w:hAnsi="Arial"/>
                <w:sz w:val="13"/>
                <w:szCs w:val="13"/>
                <w:color w:val="auto"/>
              </w:rPr>
              <w:t>(166,853)</w:t>
            </w:r>
          </w:p>
        </w:tc>
        <w:tc>
          <w:tcPr>
            <w:tcW w:w="3440" w:type="dxa"/>
            <w:vAlign w:val="bottom"/>
          </w:tcPr>
          <w:p>
            <w:pPr>
              <w:jc w:val="center"/>
              <w:spacing w:after="0"/>
              <w:rPr>
                <w:sz w:val="20"/>
                <w:szCs w:val="20"/>
                <w:color w:val="auto"/>
              </w:rPr>
            </w:pPr>
            <w:r>
              <w:rPr>
                <w:rFonts w:ascii="Arial" w:cs="Arial" w:eastAsia="Arial" w:hAnsi="Arial"/>
                <w:sz w:val="13"/>
                <w:szCs w:val="13"/>
                <w:color w:val="auto"/>
              </w:rPr>
              <w:t>(135,030)</w:t>
            </w:r>
          </w:p>
        </w:tc>
        <w:tc>
          <w:tcPr>
            <w:tcW w:w="1940" w:type="dxa"/>
            <w:vAlign w:val="bottom"/>
          </w:tcPr>
          <w:p>
            <w:pPr>
              <w:jc w:val="center"/>
              <w:ind w:right="453"/>
              <w:spacing w:after="0"/>
              <w:rPr>
                <w:sz w:val="20"/>
                <w:szCs w:val="20"/>
                <w:color w:val="auto"/>
              </w:rPr>
            </w:pPr>
            <w:r>
              <w:rPr>
                <w:rFonts w:ascii="Arial" w:cs="Arial" w:eastAsia="Arial" w:hAnsi="Arial"/>
                <w:sz w:val="13"/>
                <w:szCs w:val="13"/>
                <w:color w:val="auto"/>
              </w:rPr>
              <w:t>23.6%</w:t>
            </w:r>
          </w:p>
        </w:tc>
      </w:tr>
      <w:tr>
        <w:trPr>
          <w:trHeight w:val="189"/>
        </w:trPr>
        <w:tc>
          <w:tcPr>
            <w:tcW w:w="3800" w:type="dxa"/>
            <w:vAlign w:val="bottom"/>
          </w:tcPr>
          <w:p>
            <w:pPr>
              <w:ind w:left="20"/>
              <w:spacing w:after="0"/>
              <w:rPr>
                <w:sz w:val="20"/>
                <w:szCs w:val="20"/>
                <w:color w:val="auto"/>
              </w:rPr>
            </w:pPr>
            <w:r>
              <w:rPr>
                <w:rFonts w:ascii="Arial" w:cs="Arial" w:eastAsia="Arial" w:hAnsi="Arial"/>
                <w:sz w:val="13"/>
                <w:szCs w:val="13"/>
                <w:color w:val="auto"/>
              </w:rPr>
              <w:t>Administrative expenses</w:t>
            </w:r>
          </w:p>
        </w:tc>
        <w:tc>
          <w:tcPr>
            <w:tcW w:w="2040" w:type="dxa"/>
            <w:vAlign w:val="bottom"/>
          </w:tcPr>
          <w:p>
            <w:pPr>
              <w:jc w:val="center"/>
              <w:ind w:left="513"/>
              <w:spacing w:after="0"/>
              <w:rPr>
                <w:sz w:val="20"/>
                <w:szCs w:val="20"/>
                <w:color w:val="auto"/>
              </w:rPr>
            </w:pPr>
            <w:r>
              <w:rPr>
                <w:rFonts w:ascii="Arial" w:cs="Arial" w:eastAsia="Arial" w:hAnsi="Arial"/>
                <w:sz w:val="13"/>
                <w:szCs w:val="13"/>
                <w:color w:val="auto"/>
              </w:rPr>
              <w:t>(216,045)</w:t>
            </w:r>
          </w:p>
        </w:tc>
        <w:tc>
          <w:tcPr>
            <w:tcW w:w="3440" w:type="dxa"/>
            <w:vAlign w:val="bottom"/>
          </w:tcPr>
          <w:p>
            <w:pPr>
              <w:jc w:val="center"/>
              <w:spacing w:after="0"/>
              <w:rPr>
                <w:sz w:val="20"/>
                <w:szCs w:val="20"/>
                <w:color w:val="auto"/>
              </w:rPr>
            </w:pPr>
            <w:r>
              <w:rPr>
                <w:rFonts w:ascii="Arial" w:cs="Arial" w:eastAsia="Arial" w:hAnsi="Arial"/>
                <w:sz w:val="13"/>
                <w:szCs w:val="13"/>
                <w:color w:val="auto"/>
              </w:rPr>
              <w:t>(191,777)</w:t>
            </w:r>
          </w:p>
        </w:tc>
        <w:tc>
          <w:tcPr>
            <w:tcW w:w="1940" w:type="dxa"/>
            <w:vAlign w:val="bottom"/>
          </w:tcPr>
          <w:p>
            <w:pPr>
              <w:jc w:val="center"/>
              <w:ind w:right="453"/>
              <w:spacing w:after="0"/>
              <w:rPr>
                <w:sz w:val="20"/>
                <w:szCs w:val="20"/>
                <w:color w:val="auto"/>
              </w:rPr>
            </w:pPr>
            <w:r>
              <w:rPr>
                <w:rFonts w:ascii="Arial" w:cs="Arial" w:eastAsia="Arial" w:hAnsi="Arial"/>
                <w:sz w:val="13"/>
                <w:szCs w:val="13"/>
                <w:color w:val="auto"/>
              </w:rPr>
              <w:t>12.7%</w:t>
            </w:r>
          </w:p>
        </w:tc>
      </w:tr>
      <w:tr>
        <w:trPr>
          <w:trHeight w:val="189"/>
        </w:trPr>
        <w:tc>
          <w:tcPr>
            <w:tcW w:w="3800" w:type="dxa"/>
            <w:vAlign w:val="bottom"/>
          </w:tcPr>
          <w:p>
            <w:pPr>
              <w:ind w:left="20"/>
              <w:spacing w:after="0"/>
              <w:rPr>
                <w:sz w:val="20"/>
                <w:szCs w:val="20"/>
                <w:color w:val="auto"/>
              </w:rPr>
            </w:pPr>
            <w:r>
              <w:rPr>
                <w:rFonts w:ascii="Arial" w:cs="Arial" w:eastAsia="Arial" w:hAnsi="Arial"/>
                <w:sz w:val="13"/>
                <w:szCs w:val="13"/>
                <w:color w:val="auto"/>
              </w:rPr>
              <w:t>Other expenses</w:t>
            </w:r>
          </w:p>
        </w:tc>
        <w:tc>
          <w:tcPr>
            <w:tcW w:w="2040" w:type="dxa"/>
            <w:vAlign w:val="bottom"/>
          </w:tcPr>
          <w:p>
            <w:pPr>
              <w:jc w:val="center"/>
              <w:ind w:left="513"/>
              <w:spacing w:after="0"/>
              <w:rPr>
                <w:sz w:val="20"/>
                <w:szCs w:val="20"/>
                <w:color w:val="auto"/>
              </w:rPr>
            </w:pPr>
            <w:r>
              <w:rPr>
                <w:rFonts w:ascii="Arial" w:cs="Arial" w:eastAsia="Arial" w:hAnsi="Arial"/>
                <w:sz w:val="13"/>
                <w:szCs w:val="13"/>
                <w:color w:val="auto"/>
              </w:rPr>
              <w:t>(146,184)</w:t>
            </w:r>
          </w:p>
        </w:tc>
        <w:tc>
          <w:tcPr>
            <w:tcW w:w="3440" w:type="dxa"/>
            <w:vAlign w:val="bottom"/>
          </w:tcPr>
          <w:p>
            <w:pPr>
              <w:jc w:val="center"/>
              <w:spacing w:after="0"/>
              <w:rPr>
                <w:sz w:val="20"/>
                <w:szCs w:val="20"/>
                <w:color w:val="auto"/>
              </w:rPr>
            </w:pPr>
            <w:r>
              <w:rPr>
                <w:rFonts w:ascii="Arial" w:cs="Arial" w:eastAsia="Arial" w:hAnsi="Arial"/>
                <w:sz w:val="13"/>
                <w:szCs w:val="13"/>
                <w:color w:val="auto"/>
              </w:rPr>
              <w:t>(131,520)</w:t>
            </w:r>
          </w:p>
        </w:tc>
        <w:tc>
          <w:tcPr>
            <w:tcW w:w="1940" w:type="dxa"/>
            <w:vAlign w:val="bottom"/>
          </w:tcPr>
          <w:p>
            <w:pPr>
              <w:jc w:val="center"/>
              <w:ind w:right="453"/>
              <w:spacing w:after="0"/>
              <w:rPr>
                <w:sz w:val="20"/>
                <w:szCs w:val="20"/>
                <w:color w:val="auto"/>
              </w:rPr>
            </w:pPr>
            <w:r>
              <w:rPr>
                <w:rFonts w:ascii="Arial" w:cs="Arial" w:eastAsia="Arial" w:hAnsi="Arial"/>
                <w:sz w:val="13"/>
                <w:szCs w:val="13"/>
                <w:color w:val="auto"/>
              </w:rPr>
              <w:t>11.1%</w:t>
            </w:r>
          </w:p>
        </w:tc>
      </w:tr>
      <w:tr>
        <w:trPr>
          <w:trHeight w:val="195"/>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gains/(losses)</w:t>
            </w:r>
          </w:p>
        </w:tc>
        <w:tc>
          <w:tcPr>
            <w:tcW w:w="2040" w:type="dxa"/>
            <w:vAlign w:val="bottom"/>
            <w:tcBorders>
              <w:bottom w:val="single" w:sz="8" w:color="auto"/>
            </w:tcBorders>
          </w:tcPr>
          <w:p>
            <w:pPr>
              <w:jc w:val="center"/>
              <w:ind w:left="513"/>
              <w:spacing w:after="0"/>
              <w:rPr>
                <w:sz w:val="20"/>
                <w:szCs w:val="20"/>
                <w:color w:val="auto"/>
              </w:rPr>
            </w:pPr>
            <w:r>
              <w:rPr>
                <w:rFonts w:ascii="Arial" w:cs="Arial" w:eastAsia="Arial" w:hAnsi="Arial"/>
                <w:sz w:val="13"/>
                <w:szCs w:val="13"/>
                <w:color w:val="auto"/>
              </w:rPr>
              <w:t>(7,012)</w:t>
            </w:r>
          </w:p>
        </w:tc>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5,903</w:t>
            </w:r>
          </w:p>
        </w:tc>
        <w:tc>
          <w:tcPr>
            <w:tcW w:w="1940" w:type="dxa"/>
            <w:vAlign w:val="bottom"/>
            <w:tcBorders>
              <w:bottom w:val="single" w:sz="8" w:color="auto"/>
            </w:tcBorders>
          </w:tcPr>
          <w:p>
            <w:pPr>
              <w:jc w:val="center"/>
              <w:ind w:right="453"/>
              <w:spacing w:after="0"/>
              <w:rPr>
                <w:sz w:val="20"/>
                <w:szCs w:val="20"/>
                <w:color w:val="auto"/>
              </w:rPr>
            </w:pPr>
            <w:r>
              <w:rPr>
                <w:rFonts w:ascii="Arial" w:cs="Arial" w:eastAsia="Arial" w:hAnsi="Arial"/>
                <w:sz w:val="13"/>
                <w:szCs w:val="13"/>
                <w:color w:val="auto"/>
              </w:rPr>
              <w:t>(218.8%)</w:t>
            </w:r>
          </w:p>
        </w:tc>
      </w:tr>
      <w:tr>
        <w:trPr>
          <w:trHeight w:val="186"/>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TOTAL OPERATING EXPENSES</w:t>
            </w:r>
          </w:p>
        </w:tc>
        <w:tc>
          <w:tcPr>
            <w:tcW w:w="2040" w:type="dxa"/>
            <w:vAlign w:val="bottom"/>
          </w:tcPr>
          <w:p>
            <w:pPr>
              <w:jc w:val="center"/>
              <w:ind w:left="493"/>
              <w:spacing w:after="0"/>
              <w:rPr>
                <w:sz w:val="20"/>
                <w:szCs w:val="20"/>
                <w:color w:val="auto"/>
              </w:rPr>
            </w:pPr>
            <w:r>
              <w:rPr>
                <w:rFonts w:ascii="Arial" w:cs="Arial" w:eastAsia="Arial" w:hAnsi="Arial"/>
                <w:sz w:val="13"/>
                <w:szCs w:val="13"/>
                <w:b w:val="1"/>
                <w:bCs w:val="1"/>
                <w:color w:val="auto"/>
              </w:rPr>
              <w:t>(3,339,469)</w:t>
            </w:r>
          </w:p>
        </w:tc>
        <w:tc>
          <w:tcPr>
            <w:tcW w:w="3440" w:type="dxa"/>
            <w:vAlign w:val="bottom"/>
          </w:tcPr>
          <w:p>
            <w:pPr>
              <w:jc w:val="center"/>
              <w:spacing w:after="0"/>
              <w:rPr>
                <w:sz w:val="20"/>
                <w:szCs w:val="20"/>
                <w:color w:val="auto"/>
              </w:rPr>
            </w:pPr>
            <w:r>
              <w:rPr>
                <w:rFonts w:ascii="Arial" w:cs="Arial" w:eastAsia="Arial" w:hAnsi="Arial"/>
                <w:sz w:val="13"/>
                <w:szCs w:val="13"/>
                <w:b w:val="1"/>
                <w:bCs w:val="1"/>
                <w:color w:val="auto"/>
              </w:rPr>
              <w:t>(2,852,306)</w:t>
            </w:r>
          </w:p>
        </w:tc>
        <w:tc>
          <w:tcPr>
            <w:tcW w:w="1940" w:type="dxa"/>
            <w:vAlign w:val="bottom"/>
          </w:tcPr>
          <w:p>
            <w:pPr>
              <w:jc w:val="center"/>
              <w:ind w:right="453"/>
              <w:spacing w:after="0"/>
              <w:rPr>
                <w:sz w:val="20"/>
                <w:szCs w:val="20"/>
                <w:color w:val="auto"/>
              </w:rPr>
            </w:pPr>
            <w:r>
              <w:rPr>
                <w:rFonts w:ascii="Arial" w:cs="Arial" w:eastAsia="Arial" w:hAnsi="Arial"/>
                <w:sz w:val="13"/>
                <w:szCs w:val="13"/>
                <w:b w:val="1"/>
                <w:bCs w:val="1"/>
                <w:color w:val="auto"/>
              </w:rPr>
              <w:t>17.1%</w:t>
            </w:r>
          </w:p>
        </w:tc>
      </w:tr>
      <w:tr>
        <w:trPr>
          <w:trHeight w:val="180"/>
        </w:trPr>
        <w:tc>
          <w:tcPr>
            <w:tcW w:w="3800" w:type="dxa"/>
            <w:vAlign w:val="bottom"/>
          </w:tcPr>
          <w:p>
            <w:pPr>
              <w:ind w:left="20"/>
              <w:spacing w:after="0"/>
              <w:rPr>
                <w:sz w:val="20"/>
                <w:szCs w:val="20"/>
                <w:color w:val="auto"/>
              </w:rPr>
            </w:pPr>
            <w:r>
              <w:rPr>
                <w:rFonts w:ascii="Arial" w:cs="Arial" w:eastAsia="Arial" w:hAnsi="Arial"/>
                <w:sz w:val="13"/>
                <w:szCs w:val="13"/>
                <w:color w:val="auto"/>
              </w:rPr>
              <w:t>Other gains/(losses)</w:t>
            </w:r>
          </w:p>
        </w:tc>
        <w:tc>
          <w:tcPr>
            <w:tcW w:w="2040" w:type="dxa"/>
            <w:vAlign w:val="bottom"/>
          </w:tcPr>
          <w:p>
            <w:pPr>
              <w:jc w:val="center"/>
              <w:ind w:left="513"/>
              <w:spacing w:after="0"/>
              <w:rPr>
                <w:sz w:val="20"/>
                <w:szCs w:val="20"/>
                <w:color w:val="auto"/>
              </w:rPr>
            </w:pPr>
            <w:r>
              <w:rPr>
                <w:rFonts w:ascii="Arial" w:cs="Arial" w:eastAsia="Arial" w:hAnsi="Arial"/>
                <w:sz w:val="13"/>
                <w:szCs w:val="13"/>
                <w:color w:val="auto"/>
              </w:rPr>
              <w:t>7,012</w:t>
            </w:r>
          </w:p>
        </w:tc>
        <w:tc>
          <w:tcPr>
            <w:tcW w:w="3440" w:type="dxa"/>
            <w:vAlign w:val="bottom"/>
          </w:tcPr>
          <w:p>
            <w:pPr>
              <w:jc w:val="center"/>
              <w:spacing w:after="0"/>
              <w:rPr>
                <w:sz w:val="20"/>
                <w:szCs w:val="20"/>
                <w:color w:val="auto"/>
              </w:rPr>
            </w:pPr>
            <w:r>
              <w:rPr>
                <w:rFonts w:ascii="Arial" w:cs="Arial" w:eastAsia="Arial" w:hAnsi="Arial"/>
                <w:sz w:val="13"/>
                <w:szCs w:val="13"/>
                <w:color w:val="auto"/>
              </w:rPr>
              <w:t>(5,903)</w:t>
            </w:r>
          </w:p>
        </w:tc>
        <w:tc>
          <w:tcPr>
            <w:tcW w:w="1940" w:type="dxa"/>
            <w:vAlign w:val="bottom"/>
          </w:tcPr>
          <w:p>
            <w:pPr>
              <w:jc w:val="center"/>
              <w:ind w:right="453"/>
              <w:spacing w:after="0"/>
              <w:rPr>
                <w:sz w:val="20"/>
                <w:szCs w:val="20"/>
                <w:color w:val="auto"/>
              </w:rPr>
            </w:pPr>
            <w:r>
              <w:rPr>
                <w:rFonts w:ascii="Arial" w:cs="Arial" w:eastAsia="Arial" w:hAnsi="Arial"/>
                <w:sz w:val="13"/>
                <w:szCs w:val="13"/>
                <w:color w:val="auto"/>
              </w:rPr>
              <w:t>(218.8%)</w:t>
            </w:r>
          </w:p>
        </w:tc>
      </w:tr>
      <w:tr>
        <w:trPr>
          <w:trHeight w:val="189"/>
        </w:trPr>
        <w:tc>
          <w:tcPr>
            <w:tcW w:w="3800" w:type="dxa"/>
            <w:vAlign w:val="bottom"/>
          </w:tcPr>
          <w:p>
            <w:pPr>
              <w:ind w:left="20"/>
              <w:spacing w:after="0"/>
              <w:rPr>
                <w:sz w:val="20"/>
                <w:szCs w:val="20"/>
                <w:color w:val="auto"/>
              </w:rPr>
            </w:pPr>
            <w:r>
              <w:rPr>
                <w:rFonts w:ascii="Arial" w:cs="Arial" w:eastAsia="Arial" w:hAnsi="Arial"/>
                <w:sz w:val="13"/>
                <w:szCs w:val="13"/>
                <w:color w:val="auto"/>
              </w:rPr>
              <w:t>Adjustments for Corporate Incentive Plan</w:t>
            </w:r>
          </w:p>
        </w:tc>
        <w:tc>
          <w:tcPr>
            <w:tcW w:w="2040" w:type="dxa"/>
            <w:vAlign w:val="bottom"/>
          </w:tcPr>
          <w:p>
            <w:pPr>
              <w:jc w:val="center"/>
              <w:ind w:left="513"/>
              <w:spacing w:after="0"/>
              <w:rPr>
                <w:sz w:val="20"/>
                <w:szCs w:val="20"/>
                <w:color w:val="auto"/>
              </w:rPr>
            </w:pPr>
            <w:r>
              <w:rPr>
                <w:rFonts w:ascii="Arial" w:cs="Arial" w:eastAsia="Arial" w:hAnsi="Arial"/>
                <w:sz w:val="13"/>
                <w:szCs w:val="13"/>
                <w:color w:val="auto"/>
              </w:rPr>
              <w:t>4,188</w:t>
            </w:r>
          </w:p>
        </w:tc>
        <w:tc>
          <w:tcPr>
            <w:tcW w:w="3440" w:type="dxa"/>
            <w:vAlign w:val="bottom"/>
          </w:tcPr>
          <w:p>
            <w:pPr>
              <w:jc w:val="center"/>
              <w:spacing w:after="0"/>
              <w:rPr>
                <w:sz w:val="20"/>
                <w:szCs w:val="20"/>
                <w:color w:val="auto"/>
              </w:rPr>
            </w:pPr>
            <w:r>
              <w:rPr>
                <w:rFonts w:ascii="Arial" w:cs="Arial" w:eastAsia="Arial" w:hAnsi="Arial"/>
                <w:sz w:val="13"/>
                <w:szCs w:val="13"/>
                <w:color w:val="auto"/>
              </w:rPr>
              <w:t>20,839</w:t>
            </w:r>
          </w:p>
        </w:tc>
        <w:tc>
          <w:tcPr>
            <w:tcW w:w="1940" w:type="dxa"/>
            <w:vAlign w:val="bottom"/>
          </w:tcPr>
          <w:p>
            <w:pPr>
              <w:jc w:val="center"/>
              <w:ind w:right="453"/>
              <w:spacing w:after="0"/>
              <w:rPr>
                <w:sz w:val="20"/>
                <w:szCs w:val="20"/>
                <w:color w:val="auto"/>
              </w:rPr>
            </w:pPr>
            <w:r>
              <w:rPr>
                <w:rFonts w:ascii="Arial" w:cs="Arial" w:eastAsia="Arial" w:hAnsi="Arial"/>
                <w:sz w:val="13"/>
                <w:szCs w:val="13"/>
                <w:color w:val="auto"/>
              </w:rPr>
              <w:t>(79.9%)</w:t>
            </w:r>
          </w:p>
        </w:tc>
      </w:tr>
      <w:tr>
        <w:trPr>
          <w:trHeight w:val="195"/>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Aircraft rentals expense</w:t>
            </w:r>
          </w:p>
        </w:tc>
        <w:tc>
          <w:tcPr>
            <w:tcW w:w="2040" w:type="dxa"/>
            <w:vAlign w:val="bottom"/>
            <w:tcBorders>
              <w:bottom w:val="single" w:sz="8" w:color="auto"/>
            </w:tcBorders>
          </w:tcPr>
          <w:p>
            <w:pPr>
              <w:jc w:val="center"/>
              <w:ind w:left="513"/>
              <w:spacing w:after="0"/>
              <w:rPr>
                <w:sz w:val="20"/>
                <w:szCs w:val="20"/>
                <w:color w:val="auto"/>
              </w:rPr>
            </w:pPr>
            <w:r>
              <w:rPr>
                <w:rFonts w:ascii="Arial" w:cs="Arial" w:eastAsia="Arial" w:hAnsi="Arial"/>
                <w:sz w:val="13"/>
                <w:szCs w:val="13"/>
                <w:color w:val="auto"/>
              </w:rPr>
              <w:t>—</w:t>
            </w:r>
          </w:p>
        </w:tc>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940" w:type="dxa"/>
            <w:vAlign w:val="bottom"/>
            <w:tcBorders>
              <w:bottom w:val="single" w:sz="8" w:color="auto"/>
            </w:tcBorders>
          </w:tcPr>
          <w:p>
            <w:pPr>
              <w:jc w:val="center"/>
              <w:ind w:right="453"/>
              <w:spacing w:after="0"/>
              <w:rPr>
                <w:sz w:val="20"/>
                <w:szCs w:val="20"/>
                <w:color w:val="auto"/>
              </w:rPr>
            </w:pPr>
            <w:r>
              <w:rPr>
                <w:rFonts w:ascii="Arial" w:cs="Arial" w:eastAsia="Arial" w:hAnsi="Arial"/>
                <w:sz w:val="13"/>
                <w:szCs w:val="13"/>
                <w:color w:val="auto"/>
              </w:rPr>
              <w:t>n.m</w:t>
            </w:r>
          </w:p>
        </w:tc>
      </w:tr>
      <w:tr>
        <w:trPr>
          <w:trHeight w:val="186"/>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ADJUSTED TOTAL OPERATING EXPENSES</w:t>
            </w:r>
          </w:p>
        </w:tc>
        <w:tc>
          <w:tcPr>
            <w:tcW w:w="2040" w:type="dxa"/>
            <w:vAlign w:val="bottom"/>
          </w:tcPr>
          <w:p>
            <w:pPr>
              <w:jc w:val="center"/>
              <w:ind w:left="493"/>
              <w:spacing w:after="0"/>
              <w:rPr>
                <w:sz w:val="20"/>
                <w:szCs w:val="20"/>
                <w:color w:val="auto"/>
              </w:rPr>
            </w:pPr>
            <w:r>
              <w:rPr>
                <w:rFonts w:ascii="Arial" w:cs="Arial" w:eastAsia="Arial" w:hAnsi="Arial"/>
                <w:sz w:val="13"/>
                <w:szCs w:val="13"/>
                <w:b w:val="1"/>
                <w:bCs w:val="1"/>
                <w:color w:val="auto"/>
              </w:rPr>
              <w:t>(3,328,269)</w:t>
            </w:r>
          </w:p>
        </w:tc>
        <w:tc>
          <w:tcPr>
            <w:tcW w:w="3440" w:type="dxa"/>
            <w:vAlign w:val="bottom"/>
          </w:tcPr>
          <w:p>
            <w:pPr>
              <w:jc w:val="center"/>
              <w:spacing w:after="0"/>
              <w:rPr>
                <w:sz w:val="20"/>
                <w:szCs w:val="20"/>
                <w:color w:val="auto"/>
              </w:rPr>
            </w:pPr>
            <w:r>
              <w:rPr>
                <w:rFonts w:ascii="Arial" w:cs="Arial" w:eastAsia="Arial" w:hAnsi="Arial"/>
                <w:sz w:val="13"/>
                <w:szCs w:val="13"/>
                <w:b w:val="1"/>
                <w:bCs w:val="1"/>
                <w:color w:val="auto"/>
              </w:rPr>
              <w:t>(2,837,370)</w:t>
            </w:r>
          </w:p>
        </w:tc>
        <w:tc>
          <w:tcPr>
            <w:tcW w:w="1940" w:type="dxa"/>
            <w:vAlign w:val="bottom"/>
          </w:tcPr>
          <w:p>
            <w:pPr>
              <w:jc w:val="center"/>
              <w:ind w:right="453"/>
              <w:spacing w:after="0"/>
              <w:rPr>
                <w:sz w:val="20"/>
                <w:szCs w:val="20"/>
                <w:color w:val="auto"/>
              </w:rPr>
            </w:pPr>
            <w:r>
              <w:rPr>
                <w:rFonts w:ascii="Arial" w:cs="Arial" w:eastAsia="Arial" w:hAnsi="Arial"/>
                <w:sz w:val="13"/>
                <w:szCs w:val="13"/>
                <w:b w:val="1"/>
                <w:bCs w:val="1"/>
                <w:color w:val="auto"/>
              </w:rPr>
              <w:t>17.3%</w:t>
            </w:r>
          </w:p>
        </w:tc>
      </w:tr>
      <w:tr>
        <w:trPr>
          <w:trHeight w:val="350"/>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TOTAL OPERATING EXPENSES</w:t>
            </w:r>
          </w:p>
        </w:tc>
        <w:tc>
          <w:tcPr>
            <w:tcW w:w="2040" w:type="dxa"/>
            <w:vAlign w:val="bottom"/>
          </w:tcPr>
          <w:p>
            <w:pPr>
              <w:jc w:val="center"/>
              <w:ind w:left="493"/>
              <w:spacing w:after="0"/>
              <w:rPr>
                <w:sz w:val="20"/>
                <w:szCs w:val="20"/>
                <w:color w:val="auto"/>
              </w:rPr>
            </w:pPr>
            <w:r>
              <w:rPr>
                <w:rFonts w:ascii="Arial" w:cs="Arial" w:eastAsia="Arial" w:hAnsi="Arial"/>
                <w:sz w:val="13"/>
                <w:szCs w:val="13"/>
                <w:b w:val="1"/>
                <w:bCs w:val="1"/>
                <w:color w:val="auto"/>
              </w:rPr>
              <w:t>(3,339,469)</w:t>
            </w:r>
          </w:p>
        </w:tc>
        <w:tc>
          <w:tcPr>
            <w:tcW w:w="3440" w:type="dxa"/>
            <w:vAlign w:val="bottom"/>
          </w:tcPr>
          <w:p>
            <w:pPr>
              <w:jc w:val="center"/>
              <w:spacing w:after="0"/>
              <w:rPr>
                <w:sz w:val="20"/>
                <w:szCs w:val="20"/>
                <w:color w:val="auto"/>
              </w:rPr>
            </w:pPr>
            <w:r>
              <w:rPr>
                <w:rFonts w:ascii="Arial" w:cs="Arial" w:eastAsia="Arial" w:hAnsi="Arial"/>
                <w:sz w:val="13"/>
                <w:szCs w:val="13"/>
                <w:b w:val="1"/>
                <w:bCs w:val="1"/>
                <w:color w:val="auto"/>
              </w:rPr>
              <w:t>(2,852,306)</w:t>
            </w:r>
          </w:p>
        </w:tc>
        <w:tc>
          <w:tcPr>
            <w:tcW w:w="1940" w:type="dxa"/>
            <w:vAlign w:val="bottom"/>
          </w:tcPr>
          <w:p>
            <w:pPr>
              <w:jc w:val="center"/>
              <w:ind w:right="453"/>
              <w:spacing w:after="0"/>
              <w:rPr>
                <w:sz w:val="20"/>
                <w:szCs w:val="20"/>
                <w:color w:val="auto"/>
              </w:rPr>
            </w:pPr>
            <w:r>
              <w:rPr>
                <w:rFonts w:ascii="Arial" w:cs="Arial" w:eastAsia="Arial" w:hAnsi="Arial"/>
                <w:sz w:val="13"/>
                <w:szCs w:val="13"/>
                <w:b w:val="1"/>
                <w:bCs w:val="1"/>
                <w:color w:val="auto"/>
              </w:rPr>
              <w:t>17.1%</w:t>
            </w:r>
          </w:p>
        </w:tc>
      </w:tr>
      <w:tr>
        <w:trPr>
          <w:trHeight w:val="181"/>
        </w:trPr>
        <w:tc>
          <w:tcPr>
            <w:tcW w:w="3800" w:type="dxa"/>
            <w:vAlign w:val="bottom"/>
          </w:tcPr>
          <w:p>
            <w:pPr>
              <w:ind w:left="20"/>
              <w:spacing w:after="0"/>
              <w:rPr>
                <w:sz w:val="20"/>
                <w:szCs w:val="20"/>
                <w:color w:val="auto"/>
              </w:rPr>
            </w:pPr>
            <w:r>
              <w:rPr>
                <w:rFonts w:ascii="Arial" w:cs="Arial" w:eastAsia="Arial" w:hAnsi="Arial"/>
                <w:sz w:val="13"/>
                <w:szCs w:val="13"/>
                <w:color w:val="auto"/>
              </w:rPr>
              <w:t>Aircraft fuel expenses</w:t>
            </w:r>
          </w:p>
        </w:tc>
        <w:tc>
          <w:tcPr>
            <w:tcW w:w="2040" w:type="dxa"/>
            <w:vAlign w:val="bottom"/>
          </w:tcPr>
          <w:p>
            <w:pPr>
              <w:jc w:val="center"/>
              <w:ind w:left="493"/>
              <w:spacing w:after="0"/>
              <w:rPr>
                <w:sz w:val="20"/>
                <w:szCs w:val="20"/>
                <w:color w:val="auto"/>
              </w:rPr>
            </w:pPr>
            <w:r>
              <w:rPr>
                <w:rFonts w:ascii="Arial" w:cs="Arial" w:eastAsia="Arial" w:hAnsi="Arial"/>
                <w:sz w:val="13"/>
                <w:szCs w:val="13"/>
                <w:color w:val="auto"/>
              </w:rPr>
              <w:t>1,036,940</w:t>
            </w:r>
          </w:p>
        </w:tc>
        <w:tc>
          <w:tcPr>
            <w:tcW w:w="3440" w:type="dxa"/>
            <w:vAlign w:val="bottom"/>
          </w:tcPr>
          <w:p>
            <w:pPr>
              <w:jc w:val="center"/>
              <w:spacing w:after="0"/>
              <w:rPr>
                <w:sz w:val="20"/>
                <w:szCs w:val="20"/>
                <w:color w:val="auto"/>
              </w:rPr>
            </w:pPr>
            <w:r>
              <w:rPr>
                <w:rFonts w:ascii="Arial" w:cs="Arial" w:eastAsia="Arial" w:hAnsi="Arial"/>
                <w:sz w:val="13"/>
                <w:szCs w:val="13"/>
                <w:color w:val="auto"/>
              </w:rPr>
              <w:t>973,963</w:t>
            </w:r>
          </w:p>
        </w:tc>
        <w:tc>
          <w:tcPr>
            <w:tcW w:w="1940" w:type="dxa"/>
            <w:vAlign w:val="bottom"/>
          </w:tcPr>
          <w:p>
            <w:pPr>
              <w:jc w:val="center"/>
              <w:ind w:right="453"/>
              <w:spacing w:after="0"/>
              <w:rPr>
                <w:sz w:val="20"/>
                <w:szCs w:val="20"/>
                <w:color w:val="auto"/>
              </w:rPr>
            </w:pPr>
            <w:r>
              <w:rPr>
                <w:rFonts w:ascii="Arial" w:cs="Arial" w:eastAsia="Arial" w:hAnsi="Arial"/>
                <w:sz w:val="13"/>
                <w:szCs w:val="13"/>
                <w:color w:val="auto"/>
              </w:rPr>
              <w:t>6.5%</w:t>
            </w:r>
          </w:p>
        </w:tc>
      </w:tr>
      <w:tr>
        <w:trPr>
          <w:trHeight w:val="197"/>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Operating Expenses (Ex-Fuel)</w:t>
            </w:r>
          </w:p>
        </w:tc>
        <w:tc>
          <w:tcPr>
            <w:tcW w:w="2040" w:type="dxa"/>
            <w:vAlign w:val="bottom"/>
          </w:tcPr>
          <w:p>
            <w:pPr>
              <w:jc w:val="center"/>
              <w:ind w:left="493"/>
              <w:spacing w:after="0"/>
              <w:rPr>
                <w:sz w:val="20"/>
                <w:szCs w:val="20"/>
                <w:color w:val="auto"/>
              </w:rPr>
            </w:pPr>
            <w:r>
              <w:rPr>
                <w:rFonts w:ascii="Arial" w:cs="Arial" w:eastAsia="Arial" w:hAnsi="Arial"/>
                <w:sz w:val="13"/>
                <w:szCs w:val="13"/>
                <w:b w:val="1"/>
                <w:bCs w:val="1"/>
                <w:color w:val="auto"/>
              </w:rPr>
              <w:t>(2,302,529)</w:t>
            </w:r>
          </w:p>
        </w:tc>
        <w:tc>
          <w:tcPr>
            <w:tcW w:w="3440" w:type="dxa"/>
            <w:vAlign w:val="bottom"/>
          </w:tcPr>
          <w:p>
            <w:pPr>
              <w:jc w:val="center"/>
              <w:spacing w:after="0"/>
              <w:rPr>
                <w:sz w:val="20"/>
                <w:szCs w:val="20"/>
                <w:color w:val="auto"/>
              </w:rPr>
            </w:pPr>
            <w:r>
              <w:rPr>
                <w:rFonts w:ascii="Arial" w:cs="Arial" w:eastAsia="Arial" w:hAnsi="Arial"/>
                <w:sz w:val="13"/>
                <w:szCs w:val="13"/>
                <w:b w:val="1"/>
                <w:bCs w:val="1"/>
                <w:color w:val="auto"/>
              </w:rPr>
              <w:t>(1,878,343)</w:t>
            </w:r>
          </w:p>
        </w:tc>
        <w:tc>
          <w:tcPr>
            <w:tcW w:w="1940" w:type="dxa"/>
            <w:vAlign w:val="bottom"/>
          </w:tcPr>
          <w:p>
            <w:pPr>
              <w:jc w:val="center"/>
              <w:ind w:right="453"/>
              <w:spacing w:after="0"/>
              <w:rPr>
                <w:sz w:val="20"/>
                <w:szCs w:val="20"/>
                <w:color w:val="auto"/>
              </w:rPr>
            </w:pPr>
            <w:r>
              <w:rPr>
                <w:rFonts w:ascii="Arial" w:cs="Arial" w:eastAsia="Arial" w:hAnsi="Arial"/>
                <w:sz w:val="13"/>
                <w:szCs w:val="13"/>
                <w:b w:val="1"/>
                <w:bCs w:val="1"/>
                <w:color w:val="auto"/>
              </w:rPr>
              <w:t>22.6%</w:t>
            </w:r>
          </w:p>
        </w:tc>
      </w:tr>
      <w:tr>
        <w:trPr>
          <w:trHeight w:val="187"/>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ASKs (millions)</w:t>
            </w:r>
          </w:p>
        </w:tc>
        <w:tc>
          <w:tcPr>
            <w:tcW w:w="2040" w:type="dxa"/>
            <w:vAlign w:val="bottom"/>
            <w:tcBorders>
              <w:bottom w:val="single" w:sz="8" w:color="auto"/>
            </w:tcBorders>
          </w:tcPr>
          <w:p>
            <w:pPr>
              <w:jc w:val="center"/>
              <w:ind w:left="513"/>
              <w:spacing w:after="0"/>
              <w:rPr>
                <w:sz w:val="20"/>
                <w:szCs w:val="20"/>
                <w:color w:val="auto"/>
              </w:rPr>
            </w:pPr>
            <w:r>
              <w:rPr>
                <w:rFonts w:ascii="Arial" w:cs="Arial" w:eastAsia="Arial" w:hAnsi="Arial"/>
                <w:sz w:val="13"/>
                <w:szCs w:val="13"/>
                <w:color w:val="auto"/>
              </w:rPr>
              <w:t>45,539</w:t>
            </w:r>
          </w:p>
        </w:tc>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41,257</w:t>
            </w:r>
          </w:p>
        </w:tc>
        <w:tc>
          <w:tcPr>
            <w:tcW w:w="1940" w:type="dxa"/>
            <w:vAlign w:val="bottom"/>
            <w:tcBorders>
              <w:bottom w:val="single" w:sz="8" w:color="auto"/>
            </w:tcBorders>
          </w:tcPr>
          <w:p>
            <w:pPr>
              <w:jc w:val="center"/>
              <w:ind w:right="453"/>
              <w:spacing w:after="0"/>
              <w:rPr>
                <w:sz w:val="20"/>
                <w:szCs w:val="20"/>
                <w:color w:val="auto"/>
              </w:rPr>
            </w:pPr>
            <w:r>
              <w:rPr>
                <w:rFonts w:ascii="Arial" w:cs="Arial" w:eastAsia="Arial" w:hAnsi="Arial"/>
                <w:sz w:val="13"/>
                <w:szCs w:val="13"/>
                <w:color w:val="auto"/>
              </w:rPr>
              <w:t>10.4%</w:t>
            </w:r>
          </w:p>
        </w:tc>
      </w:tr>
      <w:tr>
        <w:trPr>
          <w:trHeight w:val="186"/>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CASK (Ex-Fuel)</w:t>
            </w:r>
          </w:p>
        </w:tc>
        <w:tc>
          <w:tcPr>
            <w:tcW w:w="2040" w:type="dxa"/>
            <w:vAlign w:val="bottom"/>
          </w:tcPr>
          <w:p>
            <w:pPr>
              <w:jc w:val="center"/>
              <w:ind w:left="493"/>
              <w:spacing w:after="0"/>
              <w:rPr>
                <w:sz w:val="20"/>
                <w:szCs w:val="20"/>
                <w:color w:val="auto"/>
              </w:rPr>
            </w:pPr>
            <w:r>
              <w:rPr>
                <w:rFonts w:ascii="Arial" w:cs="Arial" w:eastAsia="Arial" w:hAnsi="Arial"/>
                <w:sz w:val="13"/>
                <w:szCs w:val="13"/>
                <w:b w:val="1"/>
                <w:bCs w:val="1"/>
                <w:color w:val="auto"/>
              </w:rPr>
              <w:t>(5.1)</w:t>
            </w:r>
          </w:p>
        </w:tc>
        <w:tc>
          <w:tcPr>
            <w:tcW w:w="3440" w:type="dxa"/>
            <w:vAlign w:val="bottom"/>
          </w:tcPr>
          <w:p>
            <w:pPr>
              <w:jc w:val="center"/>
              <w:spacing w:after="0"/>
              <w:rPr>
                <w:sz w:val="20"/>
                <w:szCs w:val="20"/>
                <w:color w:val="auto"/>
              </w:rPr>
            </w:pPr>
            <w:r>
              <w:rPr>
                <w:rFonts w:ascii="Arial" w:cs="Arial" w:eastAsia="Arial" w:hAnsi="Arial"/>
                <w:sz w:val="13"/>
                <w:szCs w:val="13"/>
                <w:b w:val="1"/>
                <w:bCs w:val="1"/>
                <w:color w:val="auto"/>
              </w:rPr>
              <w:t>(4.6)</w:t>
            </w:r>
          </w:p>
        </w:tc>
        <w:tc>
          <w:tcPr>
            <w:tcW w:w="1940" w:type="dxa"/>
            <w:vAlign w:val="bottom"/>
          </w:tcPr>
          <w:p>
            <w:pPr>
              <w:jc w:val="center"/>
              <w:ind w:right="453"/>
              <w:spacing w:after="0"/>
              <w:rPr>
                <w:sz w:val="20"/>
                <w:szCs w:val="20"/>
                <w:color w:val="auto"/>
              </w:rPr>
            </w:pPr>
            <w:r>
              <w:rPr>
                <w:rFonts w:ascii="Arial" w:cs="Arial" w:eastAsia="Arial" w:hAnsi="Arial"/>
                <w:sz w:val="13"/>
                <w:szCs w:val="13"/>
                <w:b w:val="1"/>
                <w:bCs w:val="1"/>
                <w:color w:val="auto"/>
              </w:rPr>
              <w:t>11.1%</w:t>
            </w:r>
          </w:p>
        </w:tc>
      </w:tr>
      <w:tr>
        <w:trPr>
          <w:trHeight w:val="350"/>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ADJUSTED TOTAL OPERATING EXPENSES</w:t>
            </w:r>
          </w:p>
        </w:tc>
        <w:tc>
          <w:tcPr>
            <w:tcW w:w="2040" w:type="dxa"/>
            <w:vAlign w:val="bottom"/>
          </w:tcPr>
          <w:p>
            <w:pPr>
              <w:jc w:val="center"/>
              <w:ind w:left="493"/>
              <w:spacing w:after="0"/>
              <w:rPr>
                <w:sz w:val="20"/>
                <w:szCs w:val="20"/>
                <w:color w:val="auto"/>
              </w:rPr>
            </w:pPr>
            <w:r>
              <w:rPr>
                <w:rFonts w:ascii="Arial" w:cs="Arial" w:eastAsia="Arial" w:hAnsi="Arial"/>
                <w:sz w:val="13"/>
                <w:szCs w:val="13"/>
                <w:b w:val="1"/>
                <w:bCs w:val="1"/>
                <w:color w:val="auto"/>
              </w:rPr>
              <w:t>(3,328,269)</w:t>
            </w:r>
          </w:p>
        </w:tc>
        <w:tc>
          <w:tcPr>
            <w:tcW w:w="3440" w:type="dxa"/>
            <w:vAlign w:val="bottom"/>
          </w:tcPr>
          <w:p>
            <w:pPr>
              <w:jc w:val="center"/>
              <w:spacing w:after="0"/>
              <w:rPr>
                <w:sz w:val="20"/>
                <w:szCs w:val="20"/>
                <w:color w:val="auto"/>
              </w:rPr>
            </w:pPr>
            <w:r>
              <w:rPr>
                <w:rFonts w:ascii="Arial" w:cs="Arial" w:eastAsia="Arial" w:hAnsi="Arial"/>
                <w:sz w:val="13"/>
                <w:szCs w:val="13"/>
                <w:b w:val="1"/>
                <w:bCs w:val="1"/>
                <w:color w:val="auto"/>
              </w:rPr>
              <w:t>(2,837,370)</w:t>
            </w:r>
          </w:p>
        </w:tc>
        <w:tc>
          <w:tcPr>
            <w:tcW w:w="1940" w:type="dxa"/>
            <w:vAlign w:val="bottom"/>
          </w:tcPr>
          <w:p>
            <w:pPr>
              <w:jc w:val="center"/>
              <w:ind w:right="453"/>
              <w:spacing w:after="0"/>
              <w:rPr>
                <w:sz w:val="20"/>
                <w:szCs w:val="20"/>
                <w:color w:val="auto"/>
              </w:rPr>
            </w:pPr>
            <w:r>
              <w:rPr>
                <w:rFonts w:ascii="Arial" w:cs="Arial" w:eastAsia="Arial" w:hAnsi="Arial"/>
                <w:sz w:val="13"/>
                <w:szCs w:val="13"/>
                <w:b w:val="1"/>
                <w:bCs w:val="1"/>
                <w:color w:val="auto"/>
              </w:rPr>
              <w:t>17.3%</w:t>
            </w:r>
          </w:p>
        </w:tc>
      </w:tr>
      <w:tr>
        <w:trPr>
          <w:trHeight w:val="181"/>
        </w:trPr>
        <w:tc>
          <w:tcPr>
            <w:tcW w:w="3800" w:type="dxa"/>
            <w:vAlign w:val="bottom"/>
          </w:tcPr>
          <w:p>
            <w:pPr>
              <w:ind w:left="20"/>
              <w:spacing w:after="0"/>
              <w:rPr>
                <w:sz w:val="20"/>
                <w:szCs w:val="20"/>
                <w:color w:val="auto"/>
              </w:rPr>
            </w:pPr>
            <w:r>
              <w:rPr>
                <w:rFonts w:ascii="Arial" w:cs="Arial" w:eastAsia="Arial" w:hAnsi="Arial"/>
                <w:sz w:val="13"/>
                <w:szCs w:val="13"/>
                <w:color w:val="auto"/>
              </w:rPr>
              <w:t>Aircraft fuel expenses</w:t>
            </w:r>
          </w:p>
        </w:tc>
        <w:tc>
          <w:tcPr>
            <w:tcW w:w="2040" w:type="dxa"/>
            <w:vAlign w:val="bottom"/>
          </w:tcPr>
          <w:p>
            <w:pPr>
              <w:jc w:val="center"/>
              <w:ind w:left="493"/>
              <w:spacing w:after="0"/>
              <w:rPr>
                <w:sz w:val="20"/>
                <w:szCs w:val="20"/>
                <w:color w:val="auto"/>
              </w:rPr>
            </w:pPr>
            <w:r>
              <w:rPr>
                <w:rFonts w:ascii="Arial" w:cs="Arial" w:eastAsia="Arial" w:hAnsi="Arial"/>
                <w:sz w:val="13"/>
                <w:szCs w:val="13"/>
                <w:color w:val="auto"/>
              </w:rPr>
              <w:t>1,036,940</w:t>
            </w:r>
          </w:p>
        </w:tc>
        <w:tc>
          <w:tcPr>
            <w:tcW w:w="3440" w:type="dxa"/>
            <w:vAlign w:val="bottom"/>
          </w:tcPr>
          <w:p>
            <w:pPr>
              <w:jc w:val="center"/>
              <w:spacing w:after="0"/>
              <w:rPr>
                <w:sz w:val="20"/>
                <w:szCs w:val="20"/>
                <w:color w:val="auto"/>
              </w:rPr>
            </w:pPr>
            <w:r>
              <w:rPr>
                <w:rFonts w:ascii="Arial" w:cs="Arial" w:eastAsia="Arial" w:hAnsi="Arial"/>
                <w:sz w:val="13"/>
                <w:szCs w:val="13"/>
                <w:color w:val="auto"/>
              </w:rPr>
              <w:t>973,963</w:t>
            </w:r>
          </w:p>
        </w:tc>
        <w:tc>
          <w:tcPr>
            <w:tcW w:w="1940" w:type="dxa"/>
            <w:vAlign w:val="bottom"/>
          </w:tcPr>
          <w:p>
            <w:pPr>
              <w:jc w:val="center"/>
              <w:ind w:right="453"/>
              <w:spacing w:after="0"/>
              <w:rPr>
                <w:sz w:val="20"/>
                <w:szCs w:val="20"/>
                <w:color w:val="auto"/>
              </w:rPr>
            </w:pPr>
            <w:r>
              <w:rPr>
                <w:rFonts w:ascii="Arial" w:cs="Arial" w:eastAsia="Arial" w:hAnsi="Arial"/>
                <w:sz w:val="13"/>
                <w:szCs w:val="13"/>
                <w:color w:val="auto"/>
              </w:rPr>
              <w:t>6.5%</w:t>
            </w:r>
          </w:p>
        </w:tc>
      </w:tr>
      <w:tr>
        <w:trPr>
          <w:trHeight w:val="197"/>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Adjusted Operating Expenses (Ex-Fuel)</w:t>
            </w:r>
          </w:p>
        </w:tc>
        <w:tc>
          <w:tcPr>
            <w:tcW w:w="2040" w:type="dxa"/>
            <w:vAlign w:val="bottom"/>
          </w:tcPr>
          <w:p>
            <w:pPr>
              <w:jc w:val="center"/>
              <w:ind w:left="493"/>
              <w:spacing w:after="0"/>
              <w:rPr>
                <w:sz w:val="20"/>
                <w:szCs w:val="20"/>
                <w:color w:val="auto"/>
              </w:rPr>
            </w:pPr>
            <w:r>
              <w:rPr>
                <w:rFonts w:ascii="Arial" w:cs="Arial" w:eastAsia="Arial" w:hAnsi="Arial"/>
                <w:sz w:val="13"/>
                <w:szCs w:val="13"/>
                <w:b w:val="1"/>
                <w:bCs w:val="1"/>
                <w:color w:val="auto"/>
              </w:rPr>
              <w:t>(2,291,329)</w:t>
            </w:r>
          </w:p>
        </w:tc>
        <w:tc>
          <w:tcPr>
            <w:tcW w:w="3440" w:type="dxa"/>
            <w:vAlign w:val="bottom"/>
          </w:tcPr>
          <w:p>
            <w:pPr>
              <w:jc w:val="center"/>
              <w:spacing w:after="0"/>
              <w:rPr>
                <w:sz w:val="20"/>
                <w:szCs w:val="20"/>
                <w:color w:val="auto"/>
              </w:rPr>
            </w:pPr>
            <w:r>
              <w:rPr>
                <w:rFonts w:ascii="Arial" w:cs="Arial" w:eastAsia="Arial" w:hAnsi="Arial"/>
                <w:sz w:val="13"/>
                <w:szCs w:val="13"/>
                <w:b w:val="1"/>
                <w:bCs w:val="1"/>
                <w:color w:val="auto"/>
              </w:rPr>
              <w:t>(1,863,407)</w:t>
            </w:r>
          </w:p>
        </w:tc>
        <w:tc>
          <w:tcPr>
            <w:tcW w:w="1940" w:type="dxa"/>
            <w:vAlign w:val="bottom"/>
          </w:tcPr>
          <w:p>
            <w:pPr>
              <w:jc w:val="center"/>
              <w:ind w:right="453"/>
              <w:spacing w:after="0"/>
              <w:rPr>
                <w:sz w:val="20"/>
                <w:szCs w:val="20"/>
                <w:color w:val="auto"/>
              </w:rPr>
            </w:pPr>
            <w:r>
              <w:rPr>
                <w:rFonts w:ascii="Arial" w:cs="Arial" w:eastAsia="Arial" w:hAnsi="Arial"/>
                <w:sz w:val="13"/>
                <w:szCs w:val="13"/>
                <w:b w:val="1"/>
                <w:bCs w:val="1"/>
                <w:color w:val="auto"/>
              </w:rPr>
              <w:t>23.0%</w:t>
            </w:r>
          </w:p>
        </w:tc>
      </w:tr>
      <w:tr>
        <w:trPr>
          <w:trHeight w:val="187"/>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ASKs (millions)</w:t>
            </w:r>
          </w:p>
        </w:tc>
        <w:tc>
          <w:tcPr>
            <w:tcW w:w="2040" w:type="dxa"/>
            <w:vAlign w:val="bottom"/>
            <w:tcBorders>
              <w:bottom w:val="single" w:sz="8" w:color="auto"/>
            </w:tcBorders>
          </w:tcPr>
          <w:p>
            <w:pPr>
              <w:jc w:val="center"/>
              <w:ind w:left="513"/>
              <w:spacing w:after="0"/>
              <w:rPr>
                <w:sz w:val="20"/>
                <w:szCs w:val="20"/>
                <w:color w:val="auto"/>
              </w:rPr>
            </w:pPr>
            <w:r>
              <w:rPr>
                <w:rFonts w:ascii="Arial" w:cs="Arial" w:eastAsia="Arial" w:hAnsi="Arial"/>
                <w:sz w:val="13"/>
                <w:szCs w:val="13"/>
                <w:color w:val="auto"/>
              </w:rPr>
              <w:t>45,539</w:t>
            </w:r>
          </w:p>
        </w:tc>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41,257</w:t>
            </w:r>
          </w:p>
        </w:tc>
        <w:tc>
          <w:tcPr>
            <w:tcW w:w="1940" w:type="dxa"/>
            <w:vAlign w:val="bottom"/>
            <w:tcBorders>
              <w:bottom w:val="single" w:sz="8" w:color="auto"/>
            </w:tcBorders>
          </w:tcPr>
          <w:p>
            <w:pPr>
              <w:jc w:val="center"/>
              <w:ind w:right="453"/>
              <w:spacing w:after="0"/>
              <w:rPr>
                <w:sz w:val="20"/>
                <w:szCs w:val="20"/>
                <w:color w:val="auto"/>
              </w:rPr>
            </w:pPr>
            <w:r>
              <w:rPr>
                <w:rFonts w:ascii="Arial" w:cs="Arial" w:eastAsia="Arial" w:hAnsi="Arial"/>
                <w:sz w:val="13"/>
                <w:szCs w:val="13"/>
                <w:color w:val="auto"/>
              </w:rPr>
              <w:t>10.4%</w:t>
            </w:r>
          </w:p>
        </w:tc>
      </w:tr>
      <w:tr>
        <w:trPr>
          <w:trHeight w:val="186"/>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ADJUSTED CASK Ex-Fuel (US$ cents)</w:t>
            </w:r>
          </w:p>
        </w:tc>
        <w:tc>
          <w:tcPr>
            <w:tcW w:w="2040" w:type="dxa"/>
            <w:vAlign w:val="bottom"/>
          </w:tcPr>
          <w:p>
            <w:pPr>
              <w:jc w:val="center"/>
              <w:ind w:left="493"/>
              <w:spacing w:after="0"/>
              <w:rPr>
                <w:sz w:val="20"/>
                <w:szCs w:val="20"/>
                <w:color w:val="auto"/>
              </w:rPr>
            </w:pPr>
            <w:r>
              <w:rPr>
                <w:rFonts w:ascii="Arial" w:cs="Arial" w:eastAsia="Arial" w:hAnsi="Arial"/>
                <w:sz w:val="13"/>
                <w:szCs w:val="13"/>
                <w:b w:val="1"/>
                <w:bCs w:val="1"/>
                <w:color w:val="auto"/>
              </w:rPr>
              <w:t>(5.0)</w:t>
            </w:r>
          </w:p>
        </w:tc>
        <w:tc>
          <w:tcPr>
            <w:tcW w:w="3440" w:type="dxa"/>
            <w:vAlign w:val="bottom"/>
          </w:tcPr>
          <w:p>
            <w:pPr>
              <w:jc w:val="center"/>
              <w:spacing w:after="0"/>
              <w:rPr>
                <w:sz w:val="20"/>
                <w:szCs w:val="20"/>
                <w:color w:val="auto"/>
              </w:rPr>
            </w:pPr>
            <w:r>
              <w:rPr>
                <w:rFonts w:ascii="Arial" w:cs="Arial" w:eastAsia="Arial" w:hAnsi="Arial"/>
                <w:sz w:val="13"/>
                <w:szCs w:val="13"/>
                <w:b w:val="1"/>
                <w:bCs w:val="1"/>
                <w:color w:val="auto"/>
              </w:rPr>
              <w:t>(4.5)</w:t>
            </w:r>
          </w:p>
        </w:tc>
        <w:tc>
          <w:tcPr>
            <w:tcW w:w="1940" w:type="dxa"/>
            <w:vAlign w:val="bottom"/>
          </w:tcPr>
          <w:p>
            <w:pPr>
              <w:jc w:val="center"/>
              <w:ind w:right="453"/>
              <w:spacing w:after="0"/>
              <w:rPr>
                <w:sz w:val="20"/>
                <w:szCs w:val="20"/>
                <w:color w:val="auto"/>
              </w:rPr>
            </w:pPr>
            <w:r>
              <w:rPr>
                <w:rFonts w:ascii="Arial" w:cs="Arial" w:eastAsia="Arial" w:hAnsi="Arial"/>
                <w:sz w:val="13"/>
                <w:szCs w:val="13"/>
                <w:b w:val="1"/>
                <w:bCs w:val="1"/>
                <w:color w:val="auto"/>
              </w:rPr>
              <w:t>11.4%</w:t>
            </w:r>
          </w:p>
        </w:tc>
      </w:tr>
      <w:tr>
        <w:trPr>
          <w:trHeight w:val="490"/>
        </w:trPr>
        <w:tc>
          <w:tcPr>
            <w:tcW w:w="3800" w:type="dxa"/>
            <w:vAlign w:val="bottom"/>
          </w:tcPr>
          <w:p>
            <w:pPr>
              <w:ind w:left="20"/>
              <w:spacing w:after="0"/>
              <w:rPr>
                <w:sz w:val="20"/>
                <w:szCs w:val="20"/>
                <w:color w:val="auto"/>
              </w:rPr>
            </w:pPr>
            <w:r>
              <w:rPr>
                <w:rFonts w:ascii="Arial" w:cs="Arial" w:eastAsia="Arial" w:hAnsi="Arial"/>
                <w:sz w:val="13"/>
                <w:szCs w:val="13"/>
                <w:color w:val="auto"/>
              </w:rPr>
              <w:t>Operating lease payments</w:t>
            </w:r>
          </w:p>
        </w:tc>
        <w:tc>
          <w:tcPr>
            <w:tcW w:w="2040" w:type="dxa"/>
            <w:vAlign w:val="bottom"/>
          </w:tcPr>
          <w:p>
            <w:pPr>
              <w:jc w:val="center"/>
              <w:ind w:left="513"/>
              <w:spacing w:after="0"/>
              <w:rPr>
                <w:sz w:val="20"/>
                <w:szCs w:val="20"/>
                <w:color w:val="auto"/>
              </w:rPr>
            </w:pPr>
            <w:r>
              <w:rPr>
                <w:rFonts w:ascii="Arial" w:cs="Arial" w:eastAsia="Arial" w:hAnsi="Arial"/>
                <w:sz w:val="13"/>
                <w:szCs w:val="13"/>
                <w:color w:val="auto"/>
              </w:rPr>
              <w:t>(192,475)</w:t>
            </w:r>
          </w:p>
        </w:tc>
        <w:tc>
          <w:tcPr>
            <w:tcW w:w="3440" w:type="dxa"/>
            <w:vAlign w:val="bottom"/>
          </w:tcPr>
          <w:p>
            <w:pPr>
              <w:jc w:val="center"/>
              <w:spacing w:after="0"/>
              <w:rPr>
                <w:sz w:val="20"/>
                <w:szCs w:val="20"/>
                <w:color w:val="auto"/>
              </w:rPr>
            </w:pPr>
            <w:r>
              <w:rPr>
                <w:rFonts w:ascii="Arial" w:cs="Arial" w:eastAsia="Arial" w:hAnsi="Arial"/>
                <w:sz w:val="13"/>
                <w:szCs w:val="13"/>
                <w:color w:val="auto"/>
              </w:rPr>
              <w:t>(156,528)</w:t>
            </w:r>
          </w:p>
        </w:tc>
        <w:tc>
          <w:tcPr>
            <w:tcW w:w="1940" w:type="dxa"/>
            <w:vAlign w:val="bottom"/>
          </w:tcPr>
          <w:p>
            <w:pPr>
              <w:jc w:val="center"/>
              <w:ind w:right="453"/>
              <w:spacing w:after="0"/>
              <w:rPr>
                <w:sz w:val="20"/>
                <w:szCs w:val="20"/>
                <w:color w:val="auto"/>
              </w:rPr>
            </w:pPr>
            <w:r>
              <w:rPr>
                <w:rFonts w:ascii="Arial" w:cs="Arial" w:eastAsia="Arial" w:hAnsi="Arial"/>
                <w:sz w:val="13"/>
                <w:szCs w:val="13"/>
                <w:color w:val="auto"/>
              </w:rPr>
              <w:t>23.0%</w:t>
            </w:r>
          </w:p>
        </w:tc>
      </w:tr>
      <w:tr>
        <w:trPr>
          <w:trHeight w:val="189"/>
        </w:trPr>
        <w:tc>
          <w:tcPr>
            <w:tcW w:w="3800" w:type="dxa"/>
            <w:vAlign w:val="bottom"/>
          </w:tcPr>
          <w:p>
            <w:pPr>
              <w:ind w:left="20"/>
              <w:spacing w:after="0"/>
              <w:rPr>
                <w:sz w:val="20"/>
                <w:szCs w:val="20"/>
                <w:color w:val="auto"/>
              </w:rPr>
            </w:pPr>
            <w:r>
              <w:rPr>
                <w:rFonts w:ascii="Arial" w:cs="Arial" w:eastAsia="Arial" w:hAnsi="Arial"/>
                <w:sz w:val="13"/>
                <w:szCs w:val="13"/>
                <w:color w:val="auto"/>
              </w:rPr>
              <w:t>Interest on finance leases</w:t>
            </w:r>
          </w:p>
        </w:tc>
        <w:tc>
          <w:tcPr>
            <w:tcW w:w="2040" w:type="dxa"/>
            <w:vAlign w:val="bottom"/>
          </w:tcPr>
          <w:p>
            <w:pPr>
              <w:jc w:val="center"/>
              <w:ind w:left="513"/>
              <w:spacing w:after="0"/>
              <w:rPr>
                <w:sz w:val="20"/>
                <w:szCs w:val="20"/>
                <w:color w:val="auto"/>
              </w:rPr>
            </w:pPr>
            <w:r>
              <w:rPr>
                <w:rFonts w:ascii="Arial" w:cs="Arial" w:eastAsia="Arial" w:hAnsi="Arial"/>
                <w:sz w:val="13"/>
                <w:szCs w:val="13"/>
                <w:color w:val="auto"/>
              </w:rPr>
              <w:t>(20,103)</w:t>
            </w:r>
          </w:p>
        </w:tc>
        <w:tc>
          <w:tcPr>
            <w:tcW w:w="3440" w:type="dxa"/>
            <w:vAlign w:val="bottom"/>
          </w:tcPr>
          <w:p>
            <w:pPr>
              <w:jc w:val="center"/>
              <w:spacing w:after="0"/>
              <w:rPr>
                <w:sz w:val="20"/>
                <w:szCs w:val="20"/>
                <w:color w:val="auto"/>
              </w:rPr>
            </w:pPr>
            <w:r>
              <w:rPr>
                <w:rFonts w:ascii="Arial" w:cs="Arial" w:eastAsia="Arial" w:hAnsi="Arial"/>
                <w:sz w:val="13"/>
                <w:szCs w:val="13"/>
                <w:color w:val="auto"/>
              </w:rPr>
              <w:t>(16,355)</w:t>
            </w:r>
          </w:p>
        </w:tc>
        <w:tc>
          <w:tcPr>
            <w:tcW w:w="1940" w:type="dxa"/>
            <w:vAlign w:val="bottom"/>
          </w:tcPr>
          <w:p>
            <w:pPr>
              <w:jc w:val="center"/>
              <w:ind w:right="453"/>
              <w:spacing w:after="0"/>
              <w:rPr>
                <w:sz w:val="20"/>
                <w:szCs w:val="20"/>
                <w:color w:val="auto"/>
              </w:rPr>
            </w:pPr>
            <w:r>
              <w:rPr>
                <w:rFonts w:ascii="Arial" w:cs="Arial" w:eastAsia="Arial" w:hAnsi="Arial"/>
                <w:sz w:val="13"/>
                <w:szCs w:val="13"/>
                <w:color w:val="auto"/>
              </w:rPr>
              <w:t>22.9%</w:t>
            </w:r>
          </w:p>
        </w:tc>
      </w:tr>
      <w:tr>
        <w:trPr>
          <w:trHeight w:val="189"/>
        </w:trPr>
        <w:tc>
          <w:tcPr>
            <w:tcW w:w="3800" w:type="dxa"/>
            <w:vAlign w:val="bottom"/>
          </w:tcPr>
          <w:p>
            <w:pPr>
              <w:ind w:left="20"/>
              <w:spacing w:after="0"/>
              <w:rPr>
                <w:sz w:val="20"/>
                <w:szCs w:val="20"/>
                <w:color w:val="auto"/>
              </w:rPr>
            </w:pPr>
            <w:r>
              <w:rPr>
                <w:rFonts w:ascii="Arial" w:cs="Arial" w:eastAsia="Arial" w:hAnsi="Arial"/>
                <w:sz w:val="13"/>
                <w:szCs w:val="13"/>
                <w:color w:val="auto"/>
              </w:rPr>
              <w:t>Finance lease amortization</w:t>
            </w:r>
          </w:p>
        </w:tc>
        <w:tc>
          <w:tcPr>
            <w:tcW w:w="2040" w:type="dxa"/>
            <w:vAlign w:val="bottom"/>
          </w:tcPr>
          <w:p>
            <w:pPr>
              <w:jc w:val="center"/>
              <w:ind w:left="513"/>
              <w:spacing w:after="0"/>
              <w:rPr>
                <w:sz w:val="20"/>
                <w:szCs w:val="20"/>
                <w:color w:val="auto"/>
              </w:rPr>
            </w:pPr>
            <w:r>
              <w:rPr>
                <w:rFonts w:ascii="Arial" w:cs="Arial" w:eastAsia="Arial" w:hAnsi="Arial"/>
                <w:sz w:val="13"/>
                <w:szCs w:val="13"/>
                <w:color w:val="auto"/>
              </w:rPr>
              <w:t>(61,796)</w:t>
            </w:r>
          </w:p>
        </w:tc>
        <w:tc>
          <w:tcPr>
            <w:tcW w:w="3440" w:type="dxa"/>
            <w:vAlign w:val="bottom"/>
          </w:tcPr>
          <w:p>
            <w:pPr>
              <w:jc w:val="center"/>
              <w:spacing w:after="0"/>
              <w:rPr>
                <w:sz w:val="20"/>
                <w:szCs w:val="20"/>
                <w:color w:val="auto"/>
              </w:rPr>
            </w:pPr>
            <w:r>
              <w:rPr>
                <w:rFonts w:ascii="Arial" w:cs="Arial" w:eastAsia="Arial" w:hAnsi="Arial"/>
                <w:sz w:val="13"/>
                <w:szCs w:val="13"/>
                <w:color w:val="auto"/>
              </w:rPr>
              <w:t>(67,223)</w:t>
            </w:r>
          </w:p>
        </w:tc>
        <w:tc>
          <w:tcPr>
            <w:tcW w:w="1940" w:type="dxa"/>
            <w:vAlign w:val="bottom"/>
          </w:tcPr>
          <w:p>
            <w:pPr>
              <w:jc w:val="center"/>
              <w:ind w:right="433"/>
              <w:spacing w:after="0"/>
              <w:rPr>
                <w:sz w:val="20"/>
                <w:szCs w:val="20"/>
                <w:color w:val="auto"/>
              </w:rPr>
            </w:pPr>
            <w:r>
              <w:rPr>
                <w:rFonts w:ascii="Arial" w:cs="Arial" w:eastAsia="Arial" w:hAnsi="Arial"/>
                <w:sz w:val="13"/>
                <w:szCs w:val="13"/>
                <w:color w:val="auto"/>
              </w:rPr>
              <w:t>(8.1%)</w:t>
            </w:r>
          </w:p>
        </w:tc>
      </w:tr>
      <w:tr>
        <w:trPr>
          <w:trHeight w:val="195"/>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Non-fleet lease liabilities</w:t>
            </w:r>
          </w:p>
        </w:tc>
        <w:tc>
          <w:tcPr>
            <w:tcW w:w="2040" w:type="dxa"/>
            <w:vAlign w:val="bottom"/>
            <w:tcBorders>
              <w:bottom w:val="single" w:sz="8" w:color="auto"/>
            </w:tcBorders>
          </w:tcPr>
          <w:p>
            <w:pPr>
              <w:jc w:val="center"/>
              <w:ind w:left="513"/>
              <w:spacing w:after="0"/>
              <w:rPr>
                <w:sz w:val="20"/>
                <w:szCs w:val="20"/>
                <w:color w:val="auto"/>
              </w:rPr>
            </w:pPr>
            <w:r>
              <w:rPr>
                <w:rFonts w:ascii="Arial" w:cs="Arial" w:eastAsia="Arial" w:hAnsi="Arial"/>
                <w:sz w:val="13"/>
                <w:szCs w:val="13"/>
                <w:color w:val="auto"/>
              </w:rPr>
              <w:t>12,495</w:t>
            </w:r>
          </w:p>
        </w:tc>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10,105</w:t>
            </w:r>
          </w:p>
        </w:tc>
        <w:tc>
          <w:tcPr>
            <w:tcW w:w="1940" w:type="dxa"/>
            <w:vAlign w:val="bottom"/>
            <w:tcBorders>
              <w:bottom w:val="single" w:sz="8" w:color="auto"/>
            </w:tcBorders>
          </w:tcPr>
          <w:p>
            <w:pPr>
              <w:jc w:val="center"/>
              <w:ind w:right="453"/>
              <w:spacing w:after="0"/>
              <w:rPr>
                <w:sz w:val="20"/>
                <w:szCs w:val="20"/>
                <w:color w:val="auto"/>
              </w:rPr>
            </w:pPr>
            <w:r>
              <w:rPr>
                <w:rFonts w:ascii="Arial" w:cs="Arial" w:eastAsia="Arial" w:hAnsi="Arial"/>
                <w:sz w:val="13"/>
                <w:szCs w:val="13"/>
                <w:color w:val="auto"/>
              </w:rPr>
              <w:t>23.7%</w:t>
            </w:r>
          </w:p>
        </w:tc>
      </w:tr>
      <w:tr>
        <w:trPr>
          <w:trHeight w:val="186"/>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FLEET CASH COSTS</w:t>
            </w:r>
          </w:p>
        </w:tc>
        <w:tc>
          <w:tcPr>
            <w:tcW w:w="2040" w:type="dxa"/>
            <w:vAlign w:val="bottom"/>
          </w:tcPr>
          <w:p>
            <w:pPr>
              <w:jc w:val="center"/>
              <w:ind w:left="513"/>
              <w:spacing w:after="0"/>
              <w:rPr>
                <w:sz w:val="20"/>
                <w:szCs w:val="20"/>
                <w:color w:val="auto"/>
              </w:rPr>
            </w:pPr>
            <w:r>
              <w:rPr>
                <w:rFonts w:ascii="Arial" w:cs="Arial" w:eastAsia="Arial" w:hAnsi="Arial"/>
                <w:sz w:val="13"/>
                <w:szCs w:val="13"/>
                <w:b w:val="1"/>
                <w:bCs w:val="1"/>
                <w:color w:val="auto"/>
              </w:rPr>
              <w:t>(261,879)</w:t>
            </w:r>
          </w:p>
        </w:tc>
        <w:tc>
          <w:tcPr>
            <w:tcW w:w="3440" w:type="dxa"/>
            <w:vAlign w:val="bottom"/>
          </w:tcPr>
          <w:p>
            <w:pPr>
              <w:jc w:val="center"/>
              <w:spacing w:after="0"/>
              <w:rPr>
                <w:sz w:val="20"/>
                <w:szCs w:val="20"/>
                <w:color w:val="auto"/>
              </w:rPr>
            </w:pPr>
            <w:r>
              <w:rPr>
                <w:rFonts w:ascii="Arial" w:cs="Arial" w:eastAsia="Arial" w:hAnsi="Arial"/>
                <w:sz w:val="13"/>
                <w:szCs w:val="13"/>
                <w:b w:val="1"/>
                <w:bCs w:val="1"/>
                <w:color w:val="auto"/>
              </w:rPr>
              <w:t>(230,001)</w:t>
            </w:r>
          </w:p>
        </w:tc>
        <w:tc>
          <w:tcPr>
            <w:tcW w:w="1940" w:type="dxa"/>
            <w:vAlign w:val="bottom"/>
          </w:tcPr>
          <w:p>
            <w:pPr>
              <w:jc w:val="center"/>
              <w:ind w:right="453"/>
              <w:spacing w:after="0"/>
              <w:rPr>
                <w:sz w:val="20"/>
                <w:szCs w:val="20"/>
                <w:color w:val="auto"/>
              </w:rPr>
            </w:pPr>
            <w:r>
              <w:rPr>
                <w:rFonts w:ascii="Arial" w:cs="Arial" w:eastAsia="Arial" w:hAnsi="Arial"/>
                <w:sz w:val="13"/>
                <w:szCs w:val="13"/>
                <w:b w:val="1"/>
                <w:bCs w:val="1"/>
                <w:color w:val="auto"/>
              </w:rPr>
              <w:t>13.9%</w:t>
            </w:r>
          </w:p>
        </w:tc>
      </w:tr>
      <w:tr>
        <w:trPr>
          <w:trHeight w:val="350"/>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NET INCOME/(LOSS)</w:t>
            </w:r>
          </w:p>
        </w:tc>
        <w:tc>
          <w:tcPr>
            <w:tcW w:w="2040" w:type="dxa"/>
            <w:vAlign w:val="bottom"/>
          </w:tcPr>
          <w:p>
            <w:pPr>
              <w:jc w:val="center"/>
              <w:ind w:left="493"/>
              <w:spacing w:after="0"/>
              <w:rPr>
                <w:sz w:val="20"/>
                <w:szCs w:val="20"/>
                <w:color w:val="auto"/>
              </w:rPr>
            </w:pPr>
            <w:r>
              <w:rPr>
                <w:rFonts w:ascii="Arial" w:cs="Arial" w:eastAsia="Arial" w:hAnsi="Arial"/>
                <w:sz w:val="13"/>
                <w:szCs w:val="13"/>
                <w:b w:val="1"/>
                <w:bCs w:val="1"/>
                <w:color w:val="auto"/>
              </w:rPr>
              <w:t>577,691</w:t>
            </w:r>
          </w:p>
        </w:tc>
        <w:tc>
          <w:tcPr>
            <w:tcW w:w="3440" w:type="dxa"/>
            <w:vAlign w:val="bottom"/>
          </w:tcPr>
          <w:p>
            <w:pPr>
              <w:jc w:val="center"/>
              <w:spacing w:after="0"/>
              <w:rPr>
                <w:sz w:val="20"/>
                <w:szCs w:val="20"/>
                <w:color w:val="auto"/>
              </w:rPr>
            </w:pPr>
            <w:r>
              <w:rPr>
                <w:rFonts w:ascii="Arial" w:cs="Arial" w:eastAsia="Arial" w:hAnsi="Arial"/>
                <w:sz w:val="13"/>
                <w:szCs w:val="13"/>
                <w:b w:val="1"/>
                <w:bCs w:val="1"/>
                <w:color w:val="auto"/>
              </w:rPr>
              <w:t>356,637</w:t>
            </w:r>
          </w:p>
        </w:tc>
        <w:tc>
          <w:tcPr>
            <w:tcW w:w="1940" w:type="dxa"/>
            <w:vAlign w:val="bottom"/>
          </w:tcPr>
          <w:p>
            <w:pPr>
              <w:jc w:val="center"/>
              <w:ind w:right="453"/>
              <w:spacing w:after="0"/>
              <w:rPr>
                <w:sz w:val="20"/>
                <w:szCs w:val="20"/>
                <w:color w:val="auto"/>
              </w:rPr>
            </w:pPr>
            <w:r>
              <w:rPr>
                <w:rFonts w:ascii="Arial" w:cs="Arial" w:eastAsia="Arial" w:hAnsi="Arial"/>
                <w:sz w:val="13"/>
                <w:szCs w:val="13"/>
                <w:b w:val="1"/>
                <w:bCs w:val="1"/>
                <w:color w:val="auto"/>
              </w:rPr>
              <w:t>62.0%</w:t>
            </w:r>
          </w:p>
        </w:tc>
      </w:tr>
      <w:tr>
        <w:trPr>
          <w:trHeight w:val="181"/>
        </w:trPr>
        <w:tc>
          <w:tcPr>
            <w:tcW w:w="3800" w:type="dxa"/>
            <w:vAlign w:val="bottom"/>
          </w:tcPr>
          <w:p>
            <w:pPr>
              <w:ind w:left="20"/>
              <w:spacing w:after="0"/>
              <w:rPr>
                <w:sz w:val="20"/>
                <w:szCs w:val="20"/>
                <w:color w:val="auto"/>
              </w:rPr>
            </w:pPr>
            <w:r>
              <w:rPr>
                <w:rFonts w:ascii="Arial" w:cs="Arial" w:eastAsia="Arial" w:hAnsi="Arial"/>
                <w:sz w:val="13"/>
                <w:szCs w:val="13"/>
                <w:color w:val="auto"/>
              </w:rPr>
              <w:t>Income Taxes</w:t>
            </w:r>
          </w:p>
        </w:tc>
        <w:tc>
          <w:tcPr>
            <w:tcW w:w="2040" w:type="dxa"/>
            <w:vAlign w:val="bottom"/>
          </w:tcPr>
          <w:p>
            <w:pPr>
              <w:jc w:val="center"/>
              <w:ind w:left="493"/>
              <w:spacing w:after="0"/>
              <w:rPr>
                <w:sz w:val="20"/>
                <w:szCs w:val="20"/>
                <w:color w:val="auto"/>
              </w:rPr>
            </w:pPr>
            <w:r>
              <w:rPr>
                <w:rFonts w:ascii="Arial" w:cs="Arial" w:eastAsia="Arial" w:hAnsi="Arial"/>
                <w:sz w:val="13"/>
                <w:szCs w:val="13"/>
                <w:color w:val="auto"/>
              </w:rPr>
              <w:t>52,811</w:t>
            </w:r>
          </w:p>
        </w:tc>
        <w:tc>
          <w:tcPr>
            <w:tcW w:w="3440" w:type="dxa"/>
            <w:vAlign w:val="bottom"/>
          </w:tcPr>
          <w:p>
            <w:pPr>
              <w:jc w:val="center"/>
              <w:spacing w:after="0"/>
              <w:rPr>
                <w:sz w:val="20"/>
                <w:szCs w:val="20"/>
                <w:color w:val="auto"/>
              </w:rPr>
            </w:pPr>
            <w:r>
              <w:rPr>
                <w:rFonts w:ascii="Arial" w:cs="Arial" w:eastAsia="Arial" w:hAnsi="Arial"/>
                <w:sz w:val="13"/>
                <w:szCs w:val="13"/>
                <w:color w:val="auto"/>
              </w:rPr>
              <w:t>7,606</w:t>
            </w:r>
          </w:p>
        </w:tc>
        <w:tc>
          <w:tcPr>
            <w:tcW w:w="1940" w:type="dxa"/>
            <w:vAlign w:val="bottom"/>
          </w:tcPr>
          <w:p>
            <w:pPr>
              <w:jc w:val="center"/>
              <w:ind w:right="453"/>
              <w:spacing w:after="0"/>
              <w:rPr>
                <w:sz w:val="20"/>
                <w:szCs w:val="20"/>
                <w:color w:val="auto"/>
              </w:rPr>
            </w:pPr>
            <w:r>
              <w:rPr>
                <w:rFonts w:ascii="Arial" w:cs="Arial" w:eastAsia="Arial" w:hAnsi="Arial"/>
                <w:sz w:val="13"/>
                <w:szCs w:val="13"/>
                <w:color w:val="auto"/>
              </w:rPr>
              <w:t>594.3%</w:t>
            </w:r>
          </w:p>
        </w:tc>
      </w:tr>
      <w:tr>
        <w:trPr>
          <w:trHeight w:val="189"/>
        </w:trPr>
        <w:tc>
          <w:tcPr>
            <w:tcW w:w="380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2040" w:type="dxa"/>
            <w:vAlign w:val="bottom"/>
          </w:tcPr>
          <w:p>
            <w:pPr>
              <w:jc w:val="center"/>
              <w:ind w:left="493"/>
              <w:spacing w:after="0"/>
              <w:rPr>
                <w:sz w:val="20"/>
                <w:szCs w:val="20"/>
                <w:color w:val="auto"/>
              </w:rPr>
            </w:pPr>
            <w:r>
              <w:rPr>
                <w:rFonts w:ascii="Arial" w:cs="Arial" w:eastAsia="Arial" w:hAnsi="Arial"/>
                <w:sz w:val="13"/>
                <w:szCs w:val="13"/>
                <w:color w:val="auto"/>
              </w:rPr>
              <w:t>164,006</w:t>
            </w:r>
          </w:p>
        </w:tc>
        <w:tc>
          <w:tcPr>
            <w:tcW w:w="3440" w:type="dxa"/>
            <w:vAlign w:val="bottom"/>
          </w:tcPr>
          <w:p>
            <w:pPr>
              <w:jc w:val="center"/>
              <w:spacing w:after="0"/>
              <w:rPr>
                <w:sz w:val="20"/>
                <w:szCs w:val="20"/>
                <w:color w:val="auto"/>
              </w:rPr>
            </w:pPr>
            <w:r>
              <w:rPr>
                <w:rFonts w:ascii="Arial" w:cs="Arial" w:eastAsia="Arial" w:hAnsi="Arial"/>
                <w:sz w:val="13"/>
                <w:szCs w:val="13"/>
                <w:color w:val="auto"/>
              </w:rPr>
              <w:t>151,725</w:t>
            </w:r>
          </w:p>
        </w:tc>
        <w:tc>
          <w:tcPr>
            <w:tcW w:w="1940" w:type="dxa"/>
            <w:vAlign w:val="bottom"/>
          </w:tcPr>
          <w:p>
            <w:pPr>
              <w:jc w:val="center"/>
              <w:ind w:right="453"/>
              <w:spacing w:after="0"/>
              <w:rPr>
                <w:sz w:val="20"/>
                <w:szCs w:val="20"/>
                <w:color w:val="auto"/>
              </w:rPr>
            </w:pPr>
            <w:r>
              <w:rPr>
                <w:rFonts w:ascii="Arial" w:cs="Arial" w:eastAsia="Arial" w:hAnsi="Arial"/>
                <w:sz w:val="13"/>
                <w:szCs w:val="13"/>
                <w:color w:val="auto"/>
              </w:rPr>
              <w:t>8.1%</w:t>
            </w:r>
          </w:p>
        </w:tc>
      </w:tr>
      <w:tr>
        <w:trPr>
          <w:trHeight w:val="189"/>
        </w:trPr>
        <w:tc>
          <w:tcPr>
            <w:tcW w:w="3800" w:type="dxa"/>
            <w:vAlign w:val="bottom"/>
          </w:tcPr>
          <w:p>
            <w:pPr>
              <w:ind w:left="20"/>
              <w:spacing w:after="0"/>
              <w:rPr>
                <w:sz w:val="20"/>
                <w:szCs w:val="20"/>
                <w:color w:val="auto"/>
              </w:rPr>
            </w:pPr>
            <w:r>
              <w:rPr>
                <w:rFonts w:ascii="Arial" w:cs="Arial" w:eastAsia="Arial" w:hAnsi="Arial"/>
                <w:sz w:val="13"/>
                <w:szCs w:val="13"/>
                <w:color w:val="auto"/>
              </w:rPr>
              <w:t>Interest Income</w:t>
            </w:r>
          </w:p>
        </w:tc>
        <w:tc>
          <w:tcPr>
            <w:tcW w:w="2040" w:type="dxa"/>
            <w:vAlign w:val="bottom"/>
          </w:tcPr>
          <w:p>
            <w:pPr>
              <w:jc w:val="center"/>
              <w:ind w:left="513"/>
              <w:spacing w:after="0"/>
              <w:rPr>
                <w:sz w:val="20"/>
                <w:szCs w:val="20"/>
                <w:color w:val="auto"/>
              </w:rPr>
            </w:pPr>
            <w:r>
              <w:rPr>
                <w:rFonts w:ascii="Arial" w:cs="Arial" w:eastAsia="Arial" w:hAnsi="Arial"/>
                <w:sz w:val="13"/>
                <w:szCs w:val="13"/>
                <w:color w:val="auto"/>
              </w:rPr>
              <w:t>(36,991)</w:t>
            </w:r>
          </w:p>
        </w:tc>
        <w:tc>
          <w:tcPr>
            <w:tcW w:w="3440" w:type="dxa"/>
            <w:vAlign w:val="bottom"/>
          </w:tcPr>
          <w:p>
            <w:pPr>
              <w:jc w:val="center"/>
              <w:spacing w:after="0"/>
              <w:rPr>
                <w:sz w:val="20"/>
                <w:szCs w:val="20"/>
                <w:color w:val="auto"/>
              </w:rPr>
            </w:pPr>
            <w:r>
              <w:rPr>
                <w:rFonts w:ascii="Arial" w:cs="Arial" w:eastAsia="Arial" w:hAnsi="Arial"/>
                <w:sz w:val="13"/>
                <w:szCs w:val="13"/>
                <w:color w:val="auto"/>
              </w:rPr>
              <w:t>(33,057)</w:t>
            </w:r>
          </w:p>
        </w:tc>
        <w:tc>
          <w:tcPr>
            <w:tcW w:w="1940" w:type="dxa"/>
            <w:vAlign w:val="bottom"/>
          </w:tcPr>
          <w:p>
            <w:pPr>
              <w:jc w:val="center"/>
              <w:ind w:right="453"/>
              <w:spacing w:after="0"/>
              <w:rPr>
                <w:sz w:val="20"/>
                <w:szCs w:val="20"/>
                <w:color w:val="auto"/>
              </w:rPr>
            </w:pPr>
            <w:r>
              <w:rPr>
                <w:rFonts w:ascii="Arial" w:cs="Arial" w:eastAsia="Arial" w:hAnsi="Arial"/>
                <w:sz w:val="13"/>
                <w:szCs w:val="13"/>
                <w:color w:val="auto"/>
              </w:rPr>
              <w:t>11.9%</w:t>
            </w:r>
          </w:p>
        </w:tc>
      </w:tr>
      <w:tr>
        <w:trPr>
          <w:trHeight w:val="195"/>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Depreciation and Amortization</w:t>
            </w:r>
          </w:p>
        </w:tc>
        <w:tc>
          <w:tcPr>
            <w:tcW w:w="2040" w:type="dxa"/>
            <w:vAlign w:val="bottom"/>
            <w:tcBorders>
              <w:bottom w:val="single" w:sz="8" w:color="auto"/>
            </w:tcBorders>
          </w:tcPr>
          <w:p>
            <w:pPr>
              <w:jc w:val="center"/>
              <w:ind w:left="493"/>
              <w:spacing w:after="0"/>
              <w:rPr>
                <w:sz w:val="20"/>
                <w:szCs w:val="20"/>
                <w:color w:val="auto"/>
              </w:rPr>
            </w:pPr>
            <w:r>
              <w:rPr>
                <w:rFonts w:ascii="Arial" w:cs="Arial" w:eastAsia="Arial" w:hAnsi="Arial"/>
                <w:sz w:val="13"/>
                <w:szCs w:val="13"/>
                <w:color w:val="auto"/>
              </w:rPr>
              <w:t>492,256</w:t>
            </w:r>
          </w:p>
        </w:tc>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388,902</w:t>
            </w:r>
          </w:p>
        </w:tc>
        <w:tc>
          <w:tcPr>
            <w:tcW w:w="1940" w:type="dxa"/>
            <w:vAlign w:val="bottom"/>
            <w:tcBorders>
              <w:bottom w:val="single" w:sz="8" w:color="auto"/>
            </w:tcBorders>
          </w:tcPr>
          <w:p>
            <w:pPr>
              <w:jc w:val="center"/>
              <w:ind w:right="453"/>
              <w:spacing w:after="0"/>
              <w:rPr>
                <w:sz w:val="20"/>
                <w:szCs w:val="20"/>
                <w:color w:val="auto"/>
              </w:rPr>
            </w:pPr>
            <w:r>
              <w:rPr>
                <w:rFonts w:ascii="Arial" w:cs="Arial" w:eastAsia="Arial" w:hAnsi="Arial"/>
                <w:sz w:val="13"/>
                <w:szCs w:val="13"/>
                <w:color w:val="auto"/>
              </w:rPr>
              <w:t>26.6%</w:t>
            </w:r>
          </w:p>
        </w:tc>
      </w:tr>
      <w:tr>
        <w:trPr>
          <w:trHeight w:val="186"/>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EBITDA</w:t>
            </w:r>
          </w:p>
        </w:tc>
        <w:tc>
          <w:tcPr>
            <w:tcW w:w="2040" w:type="dxa"/>
            <w:vAlign w:val="bottom"/>
          </w:tcPr>
          <w:p>
            <w:pPr>
              <w:jc w:val="center"/>
              <w:ind w:left="493"/>
              <w:spacing w:after="0"/>
              <w:rPr>
                <w:sz w:val="20"/>
                <w:szCs w:val="20"/>
                <w:color w:val="auto"/>
              </w:rPr>
            </w:pPr>
            <w:r>
              <w:rPr>
                <w:rFonts w:ascii="Arial" w:cs="Arial" w:eastAsia="Arial" w:hAnsi="Arial"/>
                <w:sz w:val="13"/>
                <w:szCs w:val="13"/>
                <w:b w:val="1"/>
                <w:bCs w:val="1"/>
                <w:color w:val="auto"/>
              </w:rPr>
              <w:t>1,249,773</w:t>
            </w:r>
          </w:p>
        </w:tc>
        <w:tc>
          <w:tcPr>
            <w:tcW w:w="3440" w:type="dxa"/>
            <w:vAlign w:val="bottom"/>
          </w:tcPr>
          <w:p>
            <w:pPr>
              <w:jc w:val="center"/>
              <w:spacing w:after="0"/>
              <w:rPr>
                <w:sz w:val="20"/>
                <w:szCs w:val="20"/>
                <w:color w:val="auto"/>
              </w:rPr>
            </w:pPr>
            <w:r>
              <w:rPr>
                <w:rFonts w:ascii="Arial" w:cs="Arial" w:eastAsia="Arial" w:hAnsi="Arial"/>
                <w:sz w:val="13"/>
                <w:szCs w:val="13"/>
                <w:b w:val="1"/>
                <w:bCs w:val="1"/>
                <w:color w:val="auto"/>
              </w:rPr>
              <w:t>871,813</w:t>
            </w:r>
          </w:p>
        </w:tc>
        <w:tc>
          <w:tcPr>
            <w:tcW w:w="1940" w:type="dxa"/>
            <w:vAlign w:val="bottom"/>
          </w:tcPr>
          <w:p>
            <w:pPr>
              <w:jc w:val="center"/>
              <w:ind w:right="453"/>
              <w:spacing w:after="0"/>
              <w:rPr>
                <w:sz w:val="20"/>
                <w:szCs w:val="20"/>
                <w:color w:val="auto"/>
              </w:rPr>
            </w:pPr>
            <w:r>
              <w:rPr>
                <w:rFonts w:ascii="Arial" w:cs="Arial" w:eastAsia="Arial" w:hAnsi="Arial"/>
                <w:sz w:val="13"/>
                <w:szCs w:val="13"/>
                <w:b w:val="1"/>
                <w:bCs w:val="1"/>
                <w:color w:val="auto"/>
              </w:rPr>
              <w:t>43.4%</w:t>
            </w:r>
          </w:p>
        </w:tc>
      </w:tr>
      <w:tr>
        <w:trPr>
          <w:trHeight w:val="180"/>
        </w:trPr>
        <w:tc>
          <w:tcPr>
            <w:tcW w:w="3800" w:type="dxa"/>
            <w:vAlign w:val="bottom"/>
          </w:tcPr>
          <w:p>
            <w:pPr>
              <w:ind w:left="20"/>
              <w:spacing w:after="0"/>
              <w:rPr>
                <w:sz w:val="20"/>
                <w:szCs w:val="20"/>
                <w:color w:val="auto"/>
              </w:rPr>
            </w:pPr>
            <w:r>
              <w:rPr>
                <w:rFonts w:ascii="Arial" w:cs="Arial" w:eastAsia="Arial" w:hAnsi="Arial"/>
                <w:sz w:val="13"/>
                <w:szCs w:val="13"/>
                <w:color w:val="auto"/>
              </w:rPr>
              <w:t>Other gains/(losses)</w:t>
            </w:r>
          </w:p>
        </w:tc>
        <w:tc>
          <w:tcPr>
            <w:tcW w:w="2040" w:type="dxa"/>
            <w:vAlign w:val="bottom"/>
          </w:tcPr>
          <w:p>
            <w:pPr>
              <w:jc w:val="center"/>
              <w:ind w:left="513"/>
              <w:spacing w:after="0"/>
              <w:rPr>
                <w:sz w:val="20"/>
                <w:szCs w:val="20"/>
                <w:color w:val="auto"/>
              </w:rPr>
            </w:pPr>
            <w:r>
              <w:rPr>
                <w:rFonts w:ascii="Arial" w:cs="Arial" w:eastAsia="Arial" w:hAnsi="Arial"/>
                <w:sz w:val="13"/>
                <w:szCs w:val="13"/>
                <w:color w:val="auto"/>
              </w:rPr>
              <w:t>7,012</w:t>
            </w:r>
          </w:p>
        </w:tc>
        <w:tc>
          <w:tcPr>
            <w:tcW w:w="3440" w:type="dxa"/>
            <w:vAlign w:val="bottom"/>
          </w:tcPr>
          <w:p>
            <w:pPr>
              <w:jc w:val="center"/>
              <w:spacing w:after="0"/>
              <w:rPr>
                <w:sz w:val="20"/>
                <w:szCs w:val="20"/>
                <w:color w:val="auto"/>
              </w:rPr>
            </w:pPr>
            <w:r>
              <w:rPr>
                <w:rFonts w:ascii="Arial" w:cs="Arial" w:eastAsia="Arial" w:hAnsi="Arial"/>
                <w:sz w:val="13"/>
                <w:szCs w:val="13"/>
                <w:color w:val="auto"/>
              </w:rPr>
              <w:t>(5,903)</w:t>
            </w:r>
          </w:p>
        </w:tc>
        <w:tc>
          <w:tcPr>
            <w:tcW w:w="1940" w:type="dxa"/>
            <w:vAlign w:val="bottom"/>
          </w:tcPr>
          <w:p>
            <w:pPr>
              <w:jc w:val="center"/>
              <w:ind w:right="453"/>
              <w:spacing w:after="0"/>
              <w:rPr>
                <w:sz w:val="20"/>
                <w:szCs w:val="20"/>
                <w:color w:val="auto"/>
              </w:rPr>
            </w:pPr>
            <w:r>
              <w:rPr>
                <w:rFonts w:ascii="Arial" w:cs="Arial" w:eastAsia="Arial" w:hAnsi="Arial"/>
                <w:sz w:val="13"/>
                <w:szCs w:val="13"/>
                <w:color w:val="auto"/>
              </w:rPr>
              <w:t>(218.8%)</w:t>
            </w:r>
          </w:p>
        </w:tc>
      </w:tr>
      <w:tr>
        <w:trPr>
          <w:trHeight w:val="189"/>
        </w:trPr>
        <w:tc>
          <w:tcPr>
            <w:tcW w:w="3800" w:type="dxa"/>
            <w:vAlign w:val="bottom"/>
          </w:tcPr>
          <w:p>
            <w:pPr>
              <w:ind w:left="20"/>
              <w:spacing w:after="0"/>
              <w:rPr>
                <w:sz w:val="20"/>
                <w:szCs w:val="20"/>
                <w:color w:val="auto"/>
              </w:rPr>
            </w:pPr>
            <w:r>
              <w:rPr>
                <w:rFonts w:ascii="Arial" w:cs="Arial" w:eastAsia="Arial" w:hAnsi="Arial"/>
                <w:sz w:val="13"/>
                <w:szCs w:val="13"/>
                <w:color w:val="auto"/>
              </w:rPr>
              <w:t>Foreign exchange gains/(losses)</w:t>
            </w:r>
          </w:p>
        </w:tc>
        <w:tc>
          <w:tcPr>
            <w:tcW w:w="2040" w:type="dxa"/>
            <w:vAlign w:val="bottom"/>
          </w:tcPr>
          <w:p>
            <w:pPr>
              <w:jc w:val="center"/>
              <w:ind w:left="513"/>
              <w:spacing w:after="0"/>
              <w:rPr>
                <w:sz w:val="20"/>
                <w:szCs w:val="20"/>
                <w:color w:val="auto"/>
              </w:rPr>
            </w:pPr>
            <w:r>
              <w:rPr>
                <w:rFonts w:ascii="Arial" w:cs="Arial" w:eastAsia="Arial" w:hAnsi="Arial"/>
                <w:sz w:val="13"/>
                <w:szCs w:val="13"/>
                <w:color w:val="auto"/>
              </w:rPr>
              <w:t>54,146</w:t>
            </w:r>
          </w:p>
        </w:tc>
        <w:tc>
          <w:tcPr>
            <w:tcW w:w="3440" w:type="dxa"/>
            <w:vAlign w:val="bottom"/>
          </w:tcPr>
          <w:p>
            <w:pPr>
              <w:jc w:val="center"/>
              <w:spacing w:after="0"/>
              <w:rPr>
                <w:sz w:val="20"/>
                <w:szCs w:val="20"/>
                <w:color w:val="auto"/>
              </w:rPr>
            </w:pPr>
            <w:r>
              <w:rPr>
                <w:rFonts w:ascii="Arial" w:cs="Arial" w:eastAsia="Arial" w:hAnsi="Arial"/>
                <w:sz w:val="13"/>
                <w:szCs w:val="13"/>
                <w:color w:val="auto"/>
              </w:rPr>
              <w:t>75,145</w:t>
            </w:r>
          </w:p>
        </w:tc>
        <w:tc>
          <w:tcPr>
            <w:tcW w:w="1940" w:type="dxa"/>
            <w:vAlign w:val="bottom"/>
          </w:tcPr>
          <w:p>
            <w:pPr>
              <w:jc w:val="center"/>
              <w:ind w:right="453"/>
              <w:spacing w:after="0"/>
              <w:rPr>
                <w:sz w:val="20"/>
                <w:szCs w:val="20"/>
                <w:color w:val="auto"/>
              </w:rPr>
            </w:pPr>
            <w:r>
              <w:rPr>
                <w:rFonts w:ascii="Arial" w:cs="Arial" w:eastAsia="Arial" w:hAnsi="Arial"/>
                <w:sz w:val="13"/>
                <w:szCs w:val="13"/>
                <w:color w:val="auto"/>
              </w:rPr>
              <w:t>(27.9%)</w:t>
            </w:r>
          </w:p>
        </w:tc>
      </w:tr>
      <w:tr>
        <w:trPr>
          <w:trHeight w:val="189"/>
        </w:trPr>
        <w:tc>
          <w:tcPr>
            <w:tcW w:w="3800" w:type="dxa"/>
            <w:vAlign w:val="bottom"/>
          </w:tcPr>
          <w:p>
            <w:pPr>
              <w:ind w:left="20"/>
              <w:spacing w:after="0"/>
              <w:rPr>
                <w:sz w:val="20"/>
                <w:szCs w:val="20"/>
                <w:color w:val="auto"/>
              </w:rPr>
            </w:pPr>
            <w:r>
              <w:rPr>
                <w:rFonts w:ascii="Arial" w:cs="Arial" w:eastAsia="Arial" w:hAnsi="Arial"/>
                <w:sz w:val="13"/>
                <w:szCs w:val="13"/>
                <w:color w:val="auto"/>
              </w:rPr>
              <w:t>Results of indexation units</w:t>
            </w:r>
          </w:p>
        </w:tc>
        <w:tc>
          <w:tcPr>
            <w:tcW w:w="2040" w:type="dxa"/>
            <w:vAlign w:val="bottom"/>
          </w:tcPr>
          <w:p>
            <w:pPr>
              <w:jc w:val="center"/>
              <w:ind w:left="493"/>
              <w:spacing w:after="0"/>
              <w:rPr>
                <w:sz w:val="20"/>
                <w:szCs w:val="20"/>
                <w:color w:val="auto"/>
              </w:rPr>
            </w:pPr>
            <w:r>
              <w:rPr>
                <w:rFonts w:ascii="Arial" w:cs="Arial" w:eastAsia="Arial" w:hAnsi="Arial"/>
                <w:sz w:val="13"/>
                <w:szCs w:val="13"/>
                <w:color w:val="auto"/>
              </w:rPr>
              <w:t>(340)</w:t>
            </w:r>
          </w:p>
        </w:tc>
        <w:tc>
          <w:tcPr>
            <w:tcW w:w="3440" w:type="dxa"/>
            <w:vAlign w:val="bottom"/>
          </w:tcPr>
          <w:p>
            <w:pPr>
              <w:jc w:val="center"/>
              <w:spacing w:after="0"/>
              <w:rPr>
                <w:sz w:val="20"/>
                <w:szCs w:val="20"/>
                <w:color w:val="auto"/>
              </w:rPr>
            </w:pPr>
            <w:r>
              <w:rPr>
                <w:rFonts w:ascii="Arial" w:cs="Arial" w:eastAsia="Arial" w:hAnsi="Arial"/>
                <w:sz w:val="13"/>
                <w:szCs w:val="13"/>
                <w:color w:val="auto"/>
              </w:rPr>
              <w:t>239</w:t>
            </w:r>
          </w:p>
        </w:tc>
        <w:tc>
          <w:tcPr>
            <w:tcW w:w="1940" w:type="dxa"/>
            <w:vAlign w:val="bottom"/>
          </w:tcPr>
          <w:p>
            <w:pPr>
              <w:jc w:val="center"/>
              <w:ind w:right="453"/>
              <w:spacing w:after="0"/>
              <w:rPr>
                <w:sz w:val="20"/>
                <w:szCs w:val="20"/>
                <w:color w:val="auto"/>
              </w:rPr>
            </w:pPr>
            <w:r>
              <w:rPr>
                <w:rFonts w:ascii="Arial" w:cs="Arial" w:eastAsia="Arial" w:hAnsi="Arial"/>
                <w:sz w:val="13"/>
                <w:szCs w:val="13"/>
                <w:color w:val="auto"/>
              </w:rPr>
              <w:t>(242.3%)</w:t>
            </w:r>
          </w:p>
        </w:tc>
      </w:tr>
      <w:tr>
        <w:trPr>
          <w:trHeight w:val="195"/>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Adjustments for Corporate Incentive Plan</w:t>
            </w:r>
          </w:p>
        </w:tc>
        <w:tc>
          <w:tcPr>
            <w:tcW w:w="2040" w:type="dxa"/>
            <w:vAlign w:val="bottom"/>
            <w:tcBorders>
              <w:bottom w:val="single" w:sz="8" w:color="auto"/>
            </w:tcBorders>
          </w:tcPr>
          <w:p>
            <w:pPr>
              <w:jc w:val="center"/>
              <w:ind w:left="513"/>
              <w:spacing w:after="0"/>
              <w:rPr>
                <w:sz w:val="20"/>
                <w:szCs w:val="20"/>
                <w:color w:val="auto"/>
              </w:rPr>
            </w:pPr>
            <w:r>
              <w:rPr>
                <w:rFonts w:ascii="Arial" w:cs="Arial" w:eastAsia="Arial" w:hAnsi="Arial"/>
                <w:sz w:val="13"/>
                <w:szCs w:val="13"/>
                <w:color w:val="auto"/>
              </w:rPr>
              <w:t>4,188</w:t>
            </w:r>
          </w:p>
        </w:tc>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20,839</w:t>
            </w:r>
          </w:p>
        </w:tc>
        <w:tc>
          <w:tcPr>
            <w:tcW w:w="1940" w:type="dxa"/>
            <w:vAlign w:val="bottom"/>
            <w:tcBorders>
              <w:bottom w:val="single" w:sz="8" w:color="auto"/>
            </w:tcBorders>
          </w:tcPr>
          <w:p>
            <w:pPr>
              <w:jc w:val="center"/>
              <w:ind w:right="453"/>
              <w:spacing w:after="0"/>
              <w:rPr>
                <w:sz w:val="20"/>
                <w:szCs w:val="20"/>
                <w:color w:val="auto"/>
              </w:rPr>
            </w:pPr>
            <w:r>
              <w:rPr>
                <w:rFonts w:ascii="Arial" w:cs="Arial" w:eastAsia="Arial" w:hAnsi="Arial"/>
                <w:sz w:val="13"/>
                <w:szCs w:val="13"/>
                <w:color w:val="auto"/>
              </w:rPr>
              <w:t>(79.9%)</w:t>
            </w:r>
          </w:p>
        </w:tc>
      </w:tr>
      <w:tr>
        <w:trPr>
          <w:trHeight w:val="186"/>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ADJUSTED EBITDA</w:t>
            </w:r>
          </w:p>
        </w:tc>
        <w:tc>
          <w:tcPr>
            <w:tcW w:w="2040" w:type="dxa"/>
            <w:vAlign w:val="bottom"/>
          </w:tcPr>
          <w:p>
            <w:pPr>
              <w:jc w:val="center"/>
              <w:ind w:left="493"/>
              <w:spacing w:after="0"/>
              <w:rPr>
                <w:sz w:val="20"/>
                <w:szCs w:val="20"/>
                <w:color w:val="auto"/>
              </w:rPr>
            </w:pPr>
            <w:r>
              <w:rPr>
                <w:rFonts w:ascii="Arial" w:cs="Arial" w:eastAsia="Arial" w:hAnsi="Arial"/>
                <w:sz w:val="13"/>
                <w:szCs w:val="13"/>
                <w:b w:val="1"/>
                <w:bCs w:val="1"/>
                <w:color w:val="auto"/>
              </w:rPr>
              <w:t>1,314,779</w:t>
            </w:r>
          </w:p>
        </w:tc>
        <w:tc>
          <w:tcPr>
            <w:tcW w:w="3440" w:type="dxa"/>
            <w:vAlign w:val="bottom"/>
          </w:tcPr>
          <w:p>
            <w:pPr>
              <w:jc w:val="center"/>
              <w:spacing w:after="0"/>
              <w:rPr>
                <w:sz w:val="20"/>
                <w:szCs w:val="20"/>
                <w:color w:val="auto"/>
              </w:rPr>
            </w:pPr>
            <w:r>
              <w:rPr>
                <w:rFonts w:ascii="Arial" w:cs="Arial" w:eastAsia="Arial" w:hAnsi="Arial"/>
                <w:sz w:val="13"/>
                <w:szCs w:val="13"/>
                <w:b w:val="1"/>
                <w:bCs w:val="1"/>
                <w:color w:val="auto"/>
              </w:rPr>
              <w:t>962,133</w:t>
            </w:r>
          </w:p>
        </w:tc>
        <w:tc>
          <w:tcPr>
            <w:tcW w:w="1940" w:type="dxa"/>
            <w:vAlign w:val="bottom"/>
          </w:tcPr>
          <w:p>
            <w:pPr>
              <w:jc w:val="center"/>
              <w:ind w:right="453"/>
              <w:spacing w:after="0"/>
              <w:rPr>
                <w:sz w:val="20"/>
                <w:szCs w:val="20"/>
                <w:color w:val="auto"/>
              </w:rPr>
            </w:pPr>
            <w:r>
              <w:rPr>
                <w:rFonts w:ascii="Arial" w:cs="Arial" w:eastAsia="Arial" w:hAnsi="Arial"/>
                <w:sz w:val="13"/>
                <w:szCs w:val="13"/>
                <w:b w:val="1"/>
                <w:bCs w:val="1"/>
                <w:color w:val="auto"/>
              </w:rPr>
              <w:t>36.7%</w:t>
            </w:r>
          </w:p>
        </w:tc>
      </w:tr>
    </w:tbl>
    <w:p>
      <w:pPr>
        <w:spacing w:after="0" w:line="200" w:lineRule="exact"/>
        <w:rPr>
          <w:sz w:val="20"/>
          <w:szCs w:val="20"/>
          <w:color w:val="auto"/>
        </w:rPr>
      </w:pPr>
    </w:p>
    <w:p>
      <w:pPr>
        <w:sectPr>
          <w:pgSz w:w="11900" w:h="16838" w:orient="portrait"/>
          <w:cols w:equalWidth="0" w:num="1">
            <w:col w:w="11240"/>
          </w:cols>
          <w:pgMar w:left="320" w:top="3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7F7F7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863590" cy="685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63590" cy="6858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type w:val="continuous"/>
        </w:sectPr>
      </w:pPr>
    </w:p>
    <w:bookmarkStart w:id="20" w:name="page21"/>
    <w:bookmarkEnd w:id="20"/>
    <w:p>
      <w:pPr>
        <w:ind w:left="140" w:right="10100"/>
        <w:spacing w:after="0" w:line="249" w:lineRule="auto"/>
        <w:rPr>
          <w:sz w:val="20"/>
          <w:szCs w:val="20"/>
          <w:color w:val="auto"/>
        </w:rPr>
      </w:pPr>
      <w:r>
        <w:rPr>
          <w:rFonts w:ascii="Arial" w:cs="Arial" w:eastAsia="Arial" w:hAnsi="Arial"/>
          <w:sz w:val="25"/>
          <w:szCs w:val="25"/>
          <w:i w:val="1"/>
          <w:i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5829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582930"/>
                    </a:xfrm>
                    <a:prstGeom prst="rect">
                      <a:avLst/>
                    </a:prstGeom>
                    <a:noFill/>
                  </pic:spPr>
                </pic:pic>
              </a:graphicData>
            </a:graphic>
          </wp:anchor>
        </w:drawing>
        <w:t>1Q 2026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shd w:val="clear" w:color="auto" w:fill="1B0088"/>
          </w:tcPr>
          <w:p>
            <w:pPr>
              <w:spacing w:after="0"/>
              <w:rPr>
                <w:sz w:val="17"/>
                <w:szCs w:val="17"/>
                <w:color w:val="auto"/>
              </w:rPr>
            </w:pPr>
          </w:p>
        </w:tc>
        <w:tc>
          <w:tcPr>
            <w:tcW w:w="1740" w:type="dxa"/>
            <w:vAlign w:val="bottom"/>
            <w:shd w:val="clear" w:color="auto" w:fill="1B0088"/>
          </w:tcPr>
          <w:p>
            <w:pPr>
              <w:spacing w:after="0"/>
              <w:rPr>
                <w:sz w:val="17"/>
                <w:szCs w:val="17"/>
                <w:color w:val="auto"/>
              </w:rPr>
            </w:pPr>
          </w:p>
        </w:tc>
        <w:tc>
          <w:tcPr>
            <w:tcW w:w="3420" w:type="dxa"/>
            <w:vAlign w:val="bottom"/>
            <w:shd w:val="clear" w:color="auto" w:fill="1B0088"/>
          </w:tcPr>
          <w:p>
            <w:pPr>
              <w:ind w:left="360"/>
              <w:spacing w:after="0"/>
              <w:rPr>
                <w:sz w:val="20"/>
                <w:szCs w:val="20"/>
                <w:color w:val="auto"/>
              </w:rPr>
            </w:pPr>
            <w:r>
              <w:rPr>
                <w:rFonts w:ascii="Arial" w:cs="Arial" w:eastAsia="Arial" w:hAnsi="Arial"/>
                <w:sz w:val="13"/>
                <w:szCs w:val="13"/>
                <w:color w:val="FFFFFF"/>
              </w:rPr>
              <w:t>For the three month period ended March 31,</w:t>
            </w:r>
          </w:p>
        </w:tc>
        <w:tc>
          <w:tcPr>
            <w:tcW w:w="1940" w:type="dxa"/>
            <w:vAlign w:val="bottom"/>
            <w:shd w:val="clear" w:color="auto" w:fill="1B0088"/>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20" w:type="dxa"/>
            <w:vAlign w:val="bottom"/>
            <w:tcBorders>
              <w:bottom w:val="single" w:sz="8" w:color="1B0088"/>
            </w:tcBorders>
            <w:shd w:val="clear" w:color="auto" w:fill="1B0088"/>
          </w:tcPr>
          <w:p>
            <w:pPr>
              <w:spacing w:after="0"/>
              <w:rPr>
                <w:sz w:val="18"/>
                <w:szCs w:val="18"/>
                <w:color w:val="auto"/>
              </w:rPr>
            </w:pPr>
          </w:p>
        </w:tc>
        <w:tc>
          <w:tcPr>
            <w:tcW w:w="1740" w:type="dxa"/>
            <w:vAlign w:val="bottom"/>
            <w:tcBorders>
              <w:bottom w:val="single" w:sz="8" w:color="1B0088"/>
            </w:tcBorders>
            <w:shd w:val="clear" w:color="auto" w:fill="1B0088"/>
          </w:tcPr>
          <w:p>
            <w:pPr>
              <w:jc w:val="center"/>
              <w:ind w:left="169"/>
              <w:spacing w:after="0"/>
              <w:rPr>
                <w:sz w:val="20"/>
                <w:szCs w:val="20"/>
                <w:color w:val="auto"/>
              </w:rPr>
            </w:pPr>
            <w:r>
              <w:rPr>
                <w:rFonts w:ascii="Arial" w:cs="Arial" w:eastAsia="Arial" w:hAnsi="Arial"/>
                <w:sz w:val="13"/>
                <w:szCs w:val="13"/>
                <w:color w:val="FFFFFF"/>
              </w:rPr>
              <w:t>2026</w:t>
            </w:r>
          </w:p>
        </w:tc>
        <w:tc>
          <w:tcPr>
            <w:tcW w:w="3420" w:type="dxa"/>
            <w:vAlign w:val="bottom"/>
            <w:tcBorders>
              <w:bottom w:val="single" w:sz="8" w:color="1B0088"/>
            </w:tcBorders>
            <w:shd w:val="clear" w:color="auto" w:fill="1B0088"/>
          </w:tcPr>
          <w:p>
            <w:pPr>
              <w:jc w:val="center"/>
              <w:spacing w:after="0"/>
              <w:rPr>
                <w:sz w:val="20"/>
                <w:szCs w:val="20"/>
                <w:color w:val="auto"/>
              </w:rPr>
            </w:pPr>
            <w:r>
              <w:rPr>
                <w:rFonts w:ascii="Arial" w:cs="Arial" w:eastAsia="Arial" w:hAnsi="Arial"/>
                <w:sz w:val="13"/>
                <w:szCs w:val="13"/>
                <w:color w:val="FFFFFF"/>
              </w:rPr>
              <w:t>2025</w:t>
            </w:r>
          </w:p>
        </w:tc>
        <w:tc>
          <w:tcPr>
            <w:tcW w:w="1940" w:type="dxa"/>
            <w:vAlign w:val="bottom"/>
            <w:tcBorders>
              <w:bottom w:val="single" w:sz="8" w:color="1B0088"/>
            </w:tcBorders>
            <w:shd w:val="clear" w:color="auto" w:fill="1B0088"/>
          </w:tcPr>
          <w:p>
            <w:pPr>
              <w:jc w:val="center"/>
              <w:ind w:right="449"/>
              <w:spacing w:after="0"/>
              <w:rPr>
                <w:sz w:val="20"/>
                <w:szCs w:val="20"/>
                <w:color w:val="auto"/>
              </w:rPr>
            </w:pPr>
            <w:r>
              <w:rPr>
                <w:rFonts w:ascii="Arial" w:cs="Arial" w:eastAsia="Arial" w:hAnsi="Arial"/>
                <w:sz w:val="13"/>
                <w:szCs w:val="13"/>
                <w:color w:val="FFFFFF"/>
              </w:rPr>
              <w:t>% Change</w:t>
            </w:r>
          </w:p>
        </w:tc>
        <w:tc>
          <w:tcPr>
            <w:tcW w:w="0" w:type="dxa"/>
            <w:vAlign w:val="bottom"/>
          </w:tcPr>
          <w:p>
            <w:pPr>
              <w:spacing w:after="0"/>
              <w:rPr>
                <w:sz w:val="1"/>
                <w:szCs w:val="1"/>
                <w:color w:val="auto"/>
              </w:rPr>
            </w:pPr>
          </w:p>
        </w:tc>
      </w:tr>
      <w:tr>
        <w:trPr>
          <w:trHeight w:val="289"/>
        </w:trPr>
        <w:tc>
          <w:tcPr>
            <w:tcW w:w="4120" w:type="dxa"/>
            <w:vAlign w:val="bottom"/>
          </w:tcPr>
          <w:p>
            <w:pPr>
              <w:ind w:left="20"/>
              <w:spacing w:after="0"/>
              <w:rPr>
                <w:sz w:val="20"/>
                <w:szCs w:val="20"/>
                <w:color w:val="auto"/>
              </w:rPr>
            </w:pPr>
            <w:r>
              <w:rPr>
                <w:rFonts w:ascii="Arial" w:cs="Arial" w:eastAsia="Arial" w:hAnsi="Arial"/>
                <w:sz w:val="13"/>
                <w:szCs w:val="13"/>
                <w:color w:val="auto"/>
              </w:rPr>
              <w:t>Purchases of property, plant and equipment</w:t>
            </w:r>
          </w:p>
        </w:tc>
        <w:tc>
          <w:tcPr>
            <w:tcW w:w="1740" w:type="dxa"/>
            <w:vAlign w:val="bottom"/>
          </w:tcPr>
          <w:p>
            <w:pPr>
              <w:jc w:val="center"/>
              <w:ind w:left="169"/>
              <w:spacing w:after="0"/>
              <w:rPr>
                <w:sz w:val="20"/>
                <w:szCs w:val="20"/>
                <w:color w:val="auto"/>
              </w:rPr>
            </w:pPr>
            <w:r>
              <w:rPr>
                <w:rFonts w:ascii="Arial" w:cs="Arial" w:eastAsia="Arial" w:hAnsi="Arial"/>
                <w:sz w:val="14"/>
                <w:szCs w:val="14"/>
                <w:color w:val="auto"/>
              </w:rPr>
              <w:t>(319,981)</w:t>
            </w:r>
          </w:p>
        </w:tc>
        <w:tc>
          <w:tcPr>
            <w:tcW w:w="3420" w:type="dxa"/>
            <w:vAlign w:val="bottom"/>
          </w:tcPr>
          <w:p>
            <w:pPr>
              <w:jc w:val="center"/>
              <w:spacing w:after="0"/>
              <w:rPr>
                <w:sz w:val="20"/>
                <w:szCs w:val="20"/>
                <w:color w:val="auto"/>
              </w:rPr>
            </w:pPr>
            <w:r>
              <w:rPr>
                <w:rFonts w:ascii="Arial" w:cs="Arial" w:eastAsia="Arial" w:hAnsi="Arial"/>
                <w:sz w:val="14"/>
                <w:szCs w:val="14"/>
                <w:color w:val="auto"/>
              </w:rPr>
              <w:t>(370,271)</w:t>
            </w:r>
          </w:p>
        </w:tc>
        <w:tc>
          <w:tcPr>
            <w:tcW w:w="1940" w:type="dxa"/>
            <w:vAlign w:val="bottom"/>
          </w:tcPr>
          <w:p>
            <w:pPr>
              <w:jc w:val="center"/>
              <w:ind w:right="449"/>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03"/>
        </w:trPr>
        <w:tc>
          <w:tcPr>
            <w:tcW w:w="4120" w:type="dxa"/>
            <w:vAlign w:val="bottom"/>
          </w:tcPr>
          <w:p>
            <w:pPr>
              <w:ind w:left="20"/>
              <w:spacing w:after="0"/>
              <w:rPr>
                <w:sz w:val="20"/>
                <w:szCs w:val="20"/>
                <w:color w:val="auto"/>
              </w:rPr>
            </w:pPr>
            <w:r>
              <w:rPr>
                <w:rFonts w:ascii="Arial" w:cs="Arial" w:eastAsia="Arial" w:hAnsi="Arial"/>
                <w:sz w:val="13"/>
                <w:szCs w:val="13"/>
                <w:color w:val="auto"/>
              </w:rPr>
              <w:t>Purchases of intangible assets</w:t>
            </w:r>
          </w:p>
        </w:tc>
        <w:tc>
          <w:tcPr>
            <w:tcW w:w="1740" w:type="dxa"/>
            <w:vAlign w:val="bottom"/>
          </w:tcPr>
          <w:p>
            <w:pPr>
              <w:jc w:val="center"/>
              <w:ind w:left="169"/>
              <w:spacing w:after="0"/>
              <w:rPr>
                <w:sz w:val="20"/>
                <w:szCs w:val="20"/>
                <w:color w:val="auto"/>
              </w:rPr>
            </w:pPr>
            <w:r>
              <w:rPr>
                <w:rFonts w:ascii="Arial" w:cs="Arial" w:eastAsia="Arial" w:hAnsi="Arial"/>
                <w:sz w:val="14"/>
                <w:szCs w:val="14"/>
                <w:color w:val="auto"/>
              </w:rPr>
              <w:t>(25,038)</w:t>
            </w:r>
          </w:p>
        </w:tc>
        <w:tc>
          <w:tcPr>
            <w:tcW w:w="3420" w:type="dxa"/>
            <w:vAlign w:val="bottom"/>
          </w:tcPr>
          <w:p>
            <w:pPr>
              <w:jc w:val="center"/>
              <w:spacing w:after="0"/>
              <w:rPr>
                <w:sz w:val="20"/>
                <w:szCs w:val="20"/>
                <w:color w:val="auto"/>
              </w:rPr>
            </w:pPr>
            <w:r>
              <w:rPr>
                <w:rFonts w:ascii="Arial" w:cs="Arial" w:eastAsia="Arial" w:hAnsi="Arial"/>
                <w:sz w:val="14"/>
                <w:szCs w:val="14"/>
                <w:color w:val="auto"/>
              </w:rPr>
              <w:t>(25,105)</w:t>
            </w:r>
          </w:p>
        </w:tc>
        <w:tc>
          <w:tcPr>
            <w:tcW w:w="1940" w:type="dxa"/>
            <w:vAlign w:val="bottom"/>
          </w:tcPr>
          <w:p>
            <w:pPr>
              <w:jc w:val="center"/>
              <w:ind w:right="449"/>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5"/>
        </w:trPr>
        <w:tc>
          <w:tcPr>
            <w:tcW w:w="4120" w:type="dxa"/>
            <w:vAlign w:val="bottom"/>
          </w:tcPr>
          <w:p>
            <w:pPr>
              <w:ind w:left="20"/>
              <w:spacing w:after="0"/>
              <w:rPr>
                <w:sz w:val="20"/>
                <w:szCs w:val="20"/>
                <w:color w:val="auto"/>
              </w:rPr>
            </w:pPr>
            <w:r>
              <w:rPr>
                <w:rFonts w:ascii="Arial" w:cs="Arial" w:eastAsia="Arial" w:hAnsi="Arial"/>
                <w:sz w:val="13"/>
                <w:szCs w:val="13"/>
                <w:color w:val="auto"/>
              </w:rPr>
              <w:t>Reconciled by:</w:t>
            </w:r>
          </w:p>
        </w:tc>
        <w:tc>
          <w:tcPr>
            <w:tcW w:w="17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20" w:type="dxa"/>
            <w:vAlign w:val="bottom"/>
          </w:tcPr>
          <w:p>
            <w:pPr>
              <w:ind w:left="20"/>
              <w:spacing w:after="0"/>
              <w:rPr>
                <w:sz w:val="20"/>
                <w:szCs w:val="20"/>
                <w:color w:val="auto"/>
              </w:rPr>
            </w:pPr>
            <w:r>
              <w:rPr>
                <w:rFonts w:ascii="Arial" w:cs="Arial" w:eastAsia="Arial" w:hAnsi="Arial"/>
                <w:sz w:val="13"/>
                <w:szCs w:val="13"/>
                <w:color w:val="auto"/>
              </w:rPr>
              <w:t>Leased Maintenance Capitalizations</w:t>
            </w:r>
          </w:p>
        </w:tc>
        <w:tc>
          <w:tcPr>
            <w:tcW w:w="1740" w:type="dxa"/>
            <w:vAlign w:val="bottom"/>
          </w:tcPr>
          <w:p>
            <w:pPr>
              <w:jc w:val="center"/>
              <w:ind w:left="169"/>
              <w:spacing w:after="0"/>
              <w:rPr>
                <w:sz w:val="20"/>
                <w:szCs w:val="20"/>
                <w:color w:val="auto"/>
              </w:rPr>
            </w:pPr>
            <w:r>
              <w:rPr>
                <w:rFonts w:ascii="Arial" w:cs="Arial" w:eastAsia="Arial" w:hAnsi="Arial"/>
                <w:sz w:val="14"/>
                <w:szCs w:val="14"/>
                <w:color w:val="auto"/>
              </w:rPr>
              <w:t>(83,079)</w:t>
            </w:r>
          </w:p>
        </w:tc>
        <w:tc>
          <w:tcPr>
            <w:tcW w:w="3420" w:type="dxa"/>
            <w:vAlign w:val="bottom"/>
          </w:tcPr>
          <w:p>
            <w:pPr>
              <w:jc w:val="center"/>
              <w:spacing w:after="0"/>
              <w:rPr>
                <w:sz w:val="20"/>
                <w:szCs w:val="20"/>
                <w:color w:val="auto"/>
              </w:rPr>
            </w:pPr>
            <w:r>
              <w:rPr>
                <w:rFonts w:ascii="Arial" w:cs="Arial" w:eastAsia="Arial" w:hAnsi="Arial"/>
                <w:sz w:val="14"/>
                <w:szCs w:val="14"/>
                <w:color w:val="auto"/>
              </w:rPr>
              <w:t>(32,306)</w:t>
            </w:r>
          </w:p>
        </w:tc>
        <w:tc>
          <w:tcPr>
            <w:tcW w:w="1940" w:type="dxa"/>
            <w:vAlign w:val="bottom"/>
          </w:tcPr>
          <w:p>
            <w:pPr>
              <w:jc w:val="center"/>
              <w:ind w:right="449"/>
              <w:spacing w:after="0"/>
              <w:rPr>
                <w:sz w:val="20"/>
                <w:szCs w:val="20"/>
                <w:color w:val="auto"/>
              </w:rPr>
            </w:pPr>
            <w:r>
              <w:rPr>
                <w:rFonts w:ascii="Arial" w:cs="Arial" w:eastAsia="Arial" w:hAnsi="Arial"/>
                <w:sz w:val="14"/>
                <w:szCs w:val="14"/>
                <w:color w:val="auto"/>
              </w:rPr>
              <w:t>157.2%</w:t>
            </w:r>
          </w:p>
        </w:tc>
        <w:tc>
          <w:tcPr>
            <w:tcW w:w="0" w:type="dxa"/>
            <w:vAlign w:val="bottom"/>
          </w:tcPr>
          <w:p>
            <w:pPr>
              <w:spacing w:after="0"/>
              <w:rPr>
                <w:sz w:val="1"/>
                <w:szCs w:val="1"/>
                <w:color w:val="auto"/>
              </w:rPr>
            </w:pPr>
          </w:p>
        </w:tc>
      </w:tr>
      <w:tr>
        <w:trPr>
          <w:trHeight w:val="203"/>
        </w:trPr>
        <w:tc>
          <w:tcPr>
            <w:tcW w:w="4120" w:type="dxa"/>
            <w:vAlign w:val="bottom"/>
          </w:tcPr>
          <w:p>
            <w:pPr>
              <w:ind w:left="20"/>
              <w:spacing w:after="0"/>
              <w:rPr>
                <w:sz w:val="20"/>
                <w:szCs w:val="20"/>
                <w:color w:val="auto"/>
              </w:rPr>
            </w:pPr>
            <w:r>
              <w:rPr>
                <w:rFonts w:ascii="Arial" w:cs="Arial" w:eastAsia="Arial" w:hAnsi="Arial"/>
                <w:sz w:val="13"/>
                <w:szCs w:val="13"/>
                <w:color w:val="auto"/>
              </w:rPr>
              <w:t>Capital raised for fleet related financing</w:t>
            </w:r>
          </w:p>
        </w:tc>
        <w:tc>
          <w:tcPr>
            <w:tcW w:w="1740" w:type="dxa"/>
            <w:vAlign w:val="bottom"/>
          </w:tcPr>
          <w:p>
            <w:pPr>
              <w:jc w:val="center"/>
              <w:ind w:left="149"/>
              <w:spacing w:after="0"/>
              <w:rPr>
                <w:sz w:val="20"/>
                <w:szCs w:val="20"/>
                <w:color w:val="auto"/>
              </w:rPr>
            </w:pPr>
            <w:r>
              <w:rPr>
                <w:rFonts w:ascii="Arial" w:cs="Arial" w:eastAsia="Arial" w:hAnsi="Arial"/>
                <w:sz w:val="14"/>
                <w:szCs w:val="14"/>
                <w:color w:val="auto"/>
              </w:rPr>
              <w:t>114,000</w:t>
            </w:r>
          </w:p>
        </w:tc>
        <w:tc>
          <w:tcPr>
            <w:tcW w:w="3420" w:type="dxa"/>
            <w:vAlign w:val="bottom"/>
          </w:tcPr>
          <w:p>
            <w:pPr>
              <w:jc w:val="center"/>
              <w:spacing w:after="0"/>
              <w:rPr>
                <w:sz w:val="20"/>
                <w:szCs w:val="20"/>
                <w:color w:val="auto"/>
              </w:rPr>
            </w:pPr>
            <w:r>
              <w:rPr>
                <w:rFonts w:ascii="Arial" w:cs="Arial" w:eastAsia="Arial" w:hAnsi="Arial"/>
                <w:sz w:val="14"/>
                <w:szCs w:val="14"/>
                <w:color w:val="auto"/>
              </w:rPr>
              <w:t>49,500</w:t>
            </w:r>
          </w:p>
        </w:tc>
        <w:tc>
          <w:tcPr>
            <w:tcW w:w="1940" w:type="dxa"/>
            <w:vAlign w:val="bottom"/>
          </w:tcPr>
          <w:p>
            <w:pPr>
              <w:jc w:val="center"/>
              <w:ind w:right="449"/>
              <w:spacing w:after="0"/>
              <w:rPr>
                <w:sz w:val="20"/>
                <w:szCs w:val="20"/>
                <w:color w:val="auto"/>
              </w:rPr>
            </w:pPr>
            <w:r>
              <w:rPr>
                <w:rFonts w:ascii="Arial" w:cs="Arial" w:eastAsia="Arial" w:hAnsi="Arial"/>
                <w:sz w:val="14"/>
                <w:szCs w:val="14"/>
                <w:color w:val="auto"/>
              </w:rPr>
              <w:t>(56.6)%</w:t>
            </w:r>
          </w:p>
        </w:tc>
        <w:tc>
          <w:tcPr>
            <w:tcW w:w="0" w:type="dxa"/>
            <w:vAlign w:val="bottom"/>
          </w:tcPr>
          <w:p>
            <w:pPr>
              <w:spacing w:after="0"/>
              <w:rPr>
                <w:sz w:val="1"/>
                <w:szCs w:val="1"/>
                <w:color w:val="auto"/>
              </w:rPr>
            </w:pPr>
          </w:p>
        </w:tc>
      </w:tr>
      <w:tr>
        <w:trPr>
          <w:trHeight w:val="203"/>
        </w:trPr>
        <w:tc>
          <w:tcPr>
            <w:tcW w:w="4120" w:type="dxa"/>
            <w:vAlign w:val="bottom"/>
          </w:tcPr>
          <w:p>
            <w:pPr>
              <w:ind w:left="20"/>
              <w:spacing w:after="0"/>
              <w:rPr>
                <w:sz w:val="20"/>
                <w:szCs w:val="20"/>
                <w:color w:val="auto"/>
              </w:rPr>
            </w:pPr>
            <w:r>
              <w:rPr>
                <w:rFonts w:ascii="Arial" w:cs="Arial" w:eastAsia="Arial" w:hAnsi="Arial"/>
                <w:sz w:val="13"/>
                <w:szCs w:val="13"/>
                <w:color w:val="auto"/>
              </w:rPr>
              <w:t>Financing of Pre delivery payments</w:t>
            </w:r>
          </w:p>
        </w:tc>
        <w:tc>
          <w:tcPr>
            <w:tcW w:w="1740" w:type="dxa"/>
            <w:vAlign w:val="bottom"/>
          </w:tcPr>
          <w:p>
            <w:pPr>
              <w:jc w:val="center"/>
              <w:ind w:left="169"/>
              <w:spacing w:after="0"/>
              <w:rPr>
                <w:sz w:val="20"/>
                <w:szCs w:val="20"/>
                <w:color w:val="auto"/>
              </w:rPr>
            </w:pPr>
            <w:r>
              <w:rPr>
                <w:rFonts w:ascii="Arial" w:cs="Arial" w:eastAsia="Arial" w:hAnsi="Arial"/>
                <w:sz w:val="14"/>
                <w:szCs w:val="14"/>
                <w:color w:val="auto"/>
                <w:w w:val="99"/>
              </w:rPr>
              <w:t>—</w:t>
            </w:r>
          </w:p>
        </w:tc>
        <w:tc>
          <w:tcPr>
            <w:tcW w:w="34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40" w:type="dxa"/>
            <w:vAlign w:val="bottom"/>
          </w:tcPr>
          <w:p>
            <w:pPr>
              <w:jc w:val="center"/>
              <w:ind w:right="429"/>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4"/>
        </w:trPr>
        <w:tc>
          <w:tcPr>
            <w:tcW w:w="4120" w:type="dxa"/>
            <w:vAlign w:val="bottom"/>
          </w:tcPr>
          <w:p>
            <w:pPr>
              <w:ind w:left="20"/>
              <w:spacing w:after="0" w:line="144" w:lineRule="exact"/>
              <w:rPr>
                <w:sz w:val="20"/>
                <w:szCs w:val="20"/>
                <w:color w:val="auto"/>
              </w:rPr>
            </w:pPr>
            <w:r>
              <w:rPr>
                <w:rFonts w:ascii="Arial" w:cs="Arial" w:eastAsia="Arial" w:hAnsi="Arial"/>
                <w:sz w:val="13"/>
                <w:szCs w:val="13"/>
                <w:color w:val="auto"/>
              </w:rPr>
              <w:t>Recoveries of credits and Guarantee deposit received from</w:t>
            </w:r>
          </w:p>
        </w:tc>
        <w:tc>
          <w:tcPr>
            <w:tcW w:w="1740" w:type="dxa"/>
            <w:vAlign w:val="bottom"/>
            <w:vMerge w:val="restart"/>
          </w:tcPr>
          <w:p>
            <w:pPr>
              <w:jc w:val="center"/>
              <w:ind w:left="149"/>
              <w:spacing w:after="0"/>
              <w:rPr>
                <w:sz w:val="20"/>
                <w:szCs w:val="20"/>
                <w:color w:val="auto"/>
              </w:rPr>
            </w:pPr>
            <w:r>
              <w:rPr>
                <w:rFonts w:ascii="Arial" w:cs="Arial" w:eastAsia="Arial" w:hAnsi="Arial"/>
                <w:sz w:val="14"/>
                <w:szCs w:val="14"/>
                <w:color w:val="auto"/>
              </w:rPr>
              <w:t>23,591</w:t>
            </w:r>
          </w:p>
        </w:tc>
        <w:tc>
          <w:tcPr>
            <w:tcW w:w="3420" w:type="dxa"/>
            <w:vAlign w:val="bottom"/>
            <w:vMerge w:val="restart"/>
          </w:tcPr>
          <w:p>
            <w:pPr>
              <w:jc w:val="center"/>
              <w:spacing w:after="0"/>
              <w:rPr>
                <w:sz w:val="20"/>
                <w:szCs w:val="20"/>
                <w:color w:val="auto"/>
              </w:rPr>
            </w:pPr>
            <w:r>
              <w:rPr>
                <w:rFonts w:ascii="Arial" w:cs="Arial" w:eastAsia="Arial" w:hAnsi="Arial"/>
                <w:sz w:val="14"/>
                <w:szCs w:val="14"/>
                <w:color w:val="auto"/>
              </w:rPr>
              <w:t>14,129</w:t>
            </w:r>
          </w:p>
        </w:tc>
        <w:tc>
          <w:tcPr>
            <w:tcW w:w="1940" w:type="dxa"/>
            <w:vAlign w:val="bottom"/>
            <w:vMerge w:val="restart"/>
          </w:tcPr>
          <w:p>
            <w:pPr>
              <w:jc w:val="center"/>
              <w:ind w:right="449"/>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13"/>
        </w:trPr>
        <w:tc>
          <w:tcPr>
            <w:tcW w:w="4120" w:type="dxa"/>
            <w:vAlign w:val="bottom"/>
            <w:vMerge w:val="restart"/>
          </w:tcPr>
          <w:p>
            <w:pPr>
              <w:ind w:left="20"/>
              <w:spacing w:after="0"/>
              <w:rPr>
                <w:sz w:val="20"/>
                <w:szCs w:val="20"/>
                <w:color w:val="auto"/>
              </w:rPr>
            </w:pPr>
            <w:r>
              <w:rPr>
                <w:rFonts w:ascii="Arial" w:cs="Arial" w:eastAsia="Arial" w:hAnsi="Arial"/>
                <w:sz w:val="13"/>
                <w:szCs w:val="13"/>
                <w:color w:val="auto"/>
              </w:rPr>
              <w:t>assets</w:t>
            </w:r>
          </w:p>
        </w:tc>
        <w:tc>
          <w:tcPr>
            <w:tcW w:w="1740" w:type="dxa"/>
            <w:vAlign w:val="bottom"/>
            <w:vMerge w:val="continue"/>
          </w:tcPr>
          <w:p>
            <w:pPr>
              <w:spacing w:after="0"/>
              <w:rPr>
                <w:sz w:val="9"/>
                <w:szCs w:val="9"/>
                <w:color w:val="auto"/>
              </w:rPr>
            </w:pPr>
          </w:p>
        </w:tc>
        <w:tc>
          <w:tcPr>
            <w:tcW w:w="3420" w:type="dxa"/>
            <w:vAlign w:val="bottom"/>
            <w:vMerge w:val="continue"/>
          </w:tcPr>
          <w:p>
            <w:pPr>
              <w:spacing w:after="0"/>
              <w:rPr>
                <w:sz w:val="9"/>
                <w:szCs w:val="9"/>
                <w:color w:val="auto"/>
              </w:rPr>
            </w:pPr>
          </w:p>
        </w:tc>
        <w:tc>
          <w:tcPr>
            <w:tcW w:w="1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4120" w:type="dxa"/>
            <w:vAlign w:val="bottom"/>
            <w:vMerge w:val="continue"/>
          </w:tcPr>
          <w:p>
            <w:pPr>
              <w:spacing w:after="0"/>
              <w:rPr>
                <w:sz w:val="5"/>
                <w:szCs w:val="5"/>
                <w:color w:val="auto"/>
              </w:rPr>
            </w:pPr>
          </w:p>
        </w:tc>
        <w:tc>
          <w:tcPr>
            <w:tcW w:w="174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Insurance recovery</w:t>
            </w:r>
          </w:p>
        </w:tc>
        <w:tc>
          <w:tcPr>
            <w:tcW w:w="1740" w:type="dxa"/>
            <w:vAlign w:val="bottom"/>
            <w:tcBorders>
              <w:bottom w:val="single" w:sz="8" w:color="auto"/>
            </w:tcBorders>
          </w:tcPr>
          <w:p>
            <w:pPr>
              <w:jc w:val="center"/>
              <w:ind w:left="169"/>
              <w:spacing w:after="0"/>
              <w:rPr>
                <w:sz w:val="20"/>
                <w:szCs w:val="20"/>
                <w:color w:val="auto"/>
              </w:rPr>
            </w:pPr>
            <w:r>
              <w:rPr>
                <w:rFonts w:ascii="Arial" w:cs="Arial" w:eastAsia="Arial" w:hAnsi="Arial"/>
                <w:sz w:val="14"/>
                <w:szCs w:val="14"/>
                <w:color w:val="auto"/>
                <w:w w:val="99"/>
              </w:rPr>
              <w:t>—</w:t>
            </w: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940" w:type="dxa"/>
            <w:vAlign w:val="bottom"/>
            <w:tcBorders>
              <w:bottom w:val="single" w:sz="8" w:color="auto"/>
            </w:tcBorders>
          </w:tcPr>
          <w:p>
            <w:pPr>
              <w:jc w:val="center"/>
              <w:ind w:right="429"/>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4"/>
        </w:trPr>
        <w:tc>
          <w:tcPr>
            <w:tcW w:w="4120" w:type="dxa"/>
            <w:vAlign w:val="bottom"/>
          </w:tcPr>
          <w:p>
            <w:pPr>
              <w:ind w:left="20"/>
              <w:spacing w:after="0"/>
              <w:rPr>
                <w:sz w:val="20"/>
                <w:szCs w:val="20"/>
                <w:color w:val="auto"/>
              </w:rPr>
            </w:pPr>
            <w:r>
              <w:rPr>
                <w:rFonts w:ascii="Arial" w:cs="Arial" w:eastAsia="Arial" w:hAnsi="Arial"/>
                <w:sz w:val="13"/>
                <w:szCs w:val="13"/>
                <w:b w:val="1"/>
                <w:bCs w:val="1"/>
                <w:color w:val="auto"/>
              </w:rPr>
              <w:t>TOTAL CAPEX NET OF FINANCING</w:t>
            </w:r>
          </w:p>
        </w:tc>
        <w:tc>
          <w:tcPr>
            <w:tcW w:w="1740" w:type="dxa"/>
            <w:vAlign w:val="bottom"/>
          </w:tcPr>
          <w:p>
            <w:pPr>
              <w:jc w:val="center"/>
              <w:ind w:left="169"/>
              <w:spacing w:after="0"/>
              <w:rPr>
                <w:sz w:val="20"/>
                <w:szCs w:val="20"/>
                <w:color w:val="auto"/>
              </w:rPr>
            </w:pPr>
            <w:r>
              <w:rPr>
                <w:rFonts w:ascii="Arial" w:cs="Arial" w:eastAsia="Arial" w:hAnsi="Arial"/>
                <w:sz w:val="13"/>
                <w:szCs w:val="13"/>
                <w:b w:val="1"/>
                <w:bCs w:val="1"/>
                <w:color w:val="auto"/>
              </w:rPr>
              <w:t>(290,507)</w:t>
            </w:r>
          </w:p>
        </w:tc>
        <w:tc>
          <w:tcPr>
            <w:tcW w:w="3420" w:type="dxa"/>
            <w:vAlign w:val="bottom"/>
          </w:tcPr>
          <w:p>
            <w:pPr>
              <w:jc w:val="center"/>
              <w:spacing w:after="0"/>
              <w:rPr>
                <w:sz w:val="20"/>
                <w:szCs w:val="20"/>
                <w:color w:val="auto"/>
              </w:rPr>
            </w:pPr>
            <w:r>
              <w:rPr>
                <w:rFonts w:ascii="Arial" w:cs="Arial" w:eastAsia="Arial" w:hAnsi="Arial"/>
                <w:sz w:val="13"/>
                <w:szCs w:val="13"/>
                <w:b w:val="1"/>
                <w:bCs w:val="1"/>
                <w:color w:val="auto"/>
              </w:rPr>
              <w:t>(364,053)</w:t>
            </w:r>
          </w:p>
        </w:tc>
        <w:tc>
          <w:tcPr>
            <w:tcW w:w="1940" w:type="dxa"/>
            <w:vAlign w:val="bottom"/>
          </w:tcPr>
          <w:p>
            <w:pPr>
              <w:jc w:val="center"/>
              <w:ind w:right="449"/>
              <w:spacing w:after="0"/>
              <w:rPr>
                <w:sz w:val="20"/>
                <w:szCs w:val="20"/>
                <w:color w:val="auto"/>
              </w:rPr>
            </w:pPr>
            <w:r>
              <w:rPr>
                <w:rFonts w:ascii="Arial" w:cs="Arial" w:eastAsia="Arial" w:hAnsi="Arial"/>
                <w:sz w:val="13"/>
                <w:szCs w:val="13"/>
                <w:b w:val="1"/>
                <w:bCs w:val="1"/>
                <w:color w:val="auto"/>
              </w:rPr>
              <w:t>(20.2%)</w:t>
            </w:r>
          </w:p>
        </w:tc>
        <w:tc>
          <w:tcPr>
            <w:tcW w:w="0" w:type="dxa"/>
            <w:vAlign w:val="bottom"/>
          </w:tcPr>
          <w:p>
            <w:pPr>
              <w:spacing w:after="0"/>
              <w:rPr>
                <w:sz w:val="1"/>
                <w:szCs w:val="1"/>
                <w:color w:val="auto"/>
              </w:rPr>
            </w:pPr>
          </w:p>
        </w:tc>
      </w:tr>
      <w:tr>
        <w:trPr>
          <w:trHeight w:val="413"/>
        </w:trPr>
        <w:tc>
          <w:tcPr>
            <w:tcW w:w="4120" w:type="dxa"/>
            <w:vAlign w:val="bottom"/>
          </w:tcPr>
          <w:p>
            <w:pPr>
              <w:ind w:left="20"/>
              <w:spacing w:after="0"/>
              <w:rPr>
                <w:sz w:val="20"/>
                <w:szCs w:val="20"/>
                <w:color w:val="auto"/>
              </w:rPr>
            </w:pPr>
            <w:r>
              <w:rPr>
                <w:rFonts w:ascii="Arial" w:cs="Arial" w:eastAsia="Arial" w:hAnsi="Arial"/>
                <w:sz w:val="13"/>
                <w:szCs w:val="13"/>
                <w:color w:val="auto"/>
              </w:rPr>
              <w:t>Net income attributable to owners of the parent company</w:t>
            </w:r>
          </w:p>
        </w:tc>
        <w:tc>
          <w:tcPr>
            <w:tcW w:w="1740" w:type="dxa"/>
            <w:vAlign w:val="bottom"/>
          </w:tcPr>
          <w:p>
            <w:pPr>
              <w:jc w:val="center"/>
              <w:ind w:left="149"/>
              <w:spacing w:after="0"/>
              <w:rPr>
                <w:sz w:val="20"/>
                <w:szCs w:val="20"/>
                <w:color w:val="auto"/>
              </w:rPr>
            </w:pPr>
            <w:r>
              <w:rPr>
                <w:rFonts w:ascii="Arial" w:cs="Arial" w:eastAsia="Arial" w:hAnsi="Arial"/>
                <w:sz w:val="14"/>
                <w:szCs w:val="14"/>
                <w:color w:val="auto"/>
              </w:rPr>
              <w:t>575,989</w:t>
            </w:r>
          </w:p>
        </w:tc>
        <w:tc>
          <w:tcPr>
            <w:tcW w:w="3420" w:type="dxa"/>
            <w:vAlign w:val="bottom"/>
          </w:tcPr>
          <w:p>
            <w:pPr>
              <w:jc w:val="center"/>
              <w:spacing w:after="0"/>
              <w:rPr>
                <w:sz w:val="20"/>
                <w:szCs w:val="20"/>
                <w:color w:val="auto"/>
              </w:rPr>
            </w:pPr>
            <w:r>
              <w:rPr>
                <w:rFonts w:ascii="Arial" w:cs="Arial" w:eastAsia="Arial" w:hAnsi="Arial"/>
                <w:sz w:val="14"/>
                <w:szCs w:val="14"/>
                <w:color w:val="auto"/>
              </w:rPr>
              <w:t>355,288</w:t>
            </w:r>
          </w:p>
        </w:tc>
        <w:tc>
          <w:tcPr>
            <w:tcW w:w="1940" w:type="dxa"/>
            <w:vAlign w:val="bottom"/>
          </w:tcPr>
          <w:p>
            <w:pPr>
              <w:jc w:val="center"/>
              <w:ind w:right="449"/>
              <w:spacing w:after="0"/>
              <w:rPr>
                <w:sz w:val="20"/>
                <w:szCs w:val="20"/>
                <w:color w:val="auto"/>
              </w:rPr>
            </w:pPr>
            <w:r>
              <w:rPr>
                <w:rFonts w:ascii="Arial" w:cs="Arial" w:eastAsia="Arial" w:hAnsi="Arial"/>
                <w:sz w:val="14"/>
                <w:szCs w:val="14"/>
                <w:color w:val="auto"/>
              </w:rPr>
              <w:t>62.1%</w:t>
            </w:r>
          </w:p>
        </w:tc>
        <w:tc>
          <w:tcPr>
            <w:tcW w:w="0" w:type="dxa"/>
            <w:vAlign w:val="bottom"/>
          </w:tcPr>
          <w:p>
            <w:pPr>
              <w:spacing w:after="0"/>
              <w:rPr>
                <w:sz w:val="1"/>
                <w:szCs w:val="1"/>
                <w:color w:val="auto"/>
              </w:rPr>
            </w:pPr>
          </w:p>
        </w:tc>
      </w:tr>
      <w:tr>
        <w:trPr>
          <w:trHeight w:val="207"/>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Weighted average number of shares, diluted</w:t>
            </w:r>
          </w:p>
        </w:tc>
        <w:tc>
          <w:tcPr>
            <w:tcW w:w="1740" w:type="dxa"/>
            <w:vAlign w:val="bottom"/>
            <w:tcBorders>
              <w:bottom w:val="single" w:sz="8" w:color="auto"/>
            </w:tcBorders>
          </w:tcPr>
          <w:p>
            <w:pPr>
              <w:jc w:val="center"/>
              <w:ind w:left="149"/>
              <w:spacing w:after="0"/>
              <w:rPr>
                <w:sz w:val="20"/>
                <w:szCs w:val="20"/>
                <w:color w:val="auto"/>
              </w:rPr>
            </w:pPr>
            <w:r>
              <w:rPr>
                <w:rFonts w:ascii="Arial" w:cs="Arial" w:eastAsia="Arial" w:hAnsi="Arial"/>
                <w:sz w:val="14"/>
                <w:szCs w:val="14"/>
                <w:color w:val="auto"/>
              </w:rPr>
              <w:t>574,219,895</w:t>
            </w: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604,441,789</w:t>
            </w:r>
          </w:p>
        </w:tc>
        <w:tc>
          <w:tcPr>
            <w:tcW w:w="1940" w:type="dxa"/>
            <w:vAlign w:val="bottom"/>
            <w:tcBorders>
              <w:bottom w:val="single" w:sz="8" w:color="auto"/>
            </w:tcBorders>
          </w:tcPr>
          <w:p>
            <w:pPr>
              <w:jc w:val="center"/>
              <w:ind w:right="449"/>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99"/>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DILUTED EARNINGS PER SHARE (US$)</w:t>
            </w:r>
          </w:p>
        </w:tc>
        <w:tc>
          <w:tcPr>
            <w:tcW w:w="1740" w:type="dxa"/>
            <w:vAlign w:val="bottom"/>
            <w:tcBorders>
              <w:bottom w:val="single" w:sz="8" w:color="auto"/>
            </w:tcBorders>
          </w:tcPr>
          <w:p>
            <w:pPr>
              <w:jc w:val="center"/>
              <w:ind w:left="149"/>
              <w:spacing w:after="0"/>
              <w:rPr>
                <w:sz w:val="20"/>
                <w:szCs w:val="20"/>
                <w:color w:val="auto"/>
              </w:rPr>
            </w:pPr>
            <w:r>
              <w:rPr>
                <w:rFonts w:ascii="Arial" w:cs="Arial" w:eastAsia="Arial" w:hAnsi="Arial"/>
                <w:sz w:val="14"/>
                <w:szCs w:val="14"/>
                <w:b w:val="1"/>
                <w:bCs w:val="1"/>
                <w:color w:val="auto"/>
              </w:rPr>
              <w:t>0.00100</w:t>
            </w: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0.00059</w:t>
            </w:r>
          </w:p>
        </w:tc>
        <w:tc>
          <w:tcPr>
            <w:tcW w:w="1940" w:type="dxa"/>
            <w:vAlign w:val="bottom"/>
            <w:tcBorders>
              <w:bottom w:val="single" w:sz="8" w:color="auto"/>
            </w:tcBorders>
          </w:tcPr>
          <w:p>
            <w:pPr>
              <w:jc w:val="center"/>
              <w:ind w:right="449"/>
              <w:spacing w:after="0"/>
              <w:rPr>
                <w:sz w:val="20"/>
                <w:szCs w:val="20"/>
                <w:color w:val="auto"/>
              </w:rPr>
            </w:pPr>
            <w:r>
              <w:rPr>
                <w:rFonts w:ascii="Arial" w:cs="Arial" w:eastAsia="Arial" w:hAnsi="Arial"/>
                <w:sz w:val="14"/>
                <w:szCs w:val="14"/>
                <w:b w:val="1"/>
                <w:bCs w:val="1"/>
                <w:color w:val="auto"/>
              </w:rPr>
              <w:t>70.7%</w:t>
            </w: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Arial" w:cs="Arial" w:eastAsia="Arial" w:hAnsi="Arial"/>
                <w:sz w:val="13"/>
                <w:szCs w:val="13"/>
                <w:b w:val="1"/>
                <w:bCs w:val="1"/>
                <w:color w:val="auto"/>
              </w:rPr>
              <w:t>DILUTED EARNINGS PER ADS (US$)</w:t>
            </w:r>
          </w:p>
        </w:tc>
        <w:tc>
          <w:tcPr>
            <w:tcW w:w="1740" w:type="dxa"/>
            <w:vAlign w:val="bottom"/>
          </w:tcPr>
          <w:p>
            <w:pPr>
              <w:jc w:val="center"/>
              <w:ind w:left="149"/>
              <w:spacing w:after="0"/>
              <w:rPr>
                <w:sz w:val="20"/>
                <w:szCs w:val="20"/>
                <w:color w:val="auto"/>
              </w:rPr>
            </w:pPr>
            <w:r>
              <w:rPr>
                <w:rFonts w:ascii="Arial" w:cs="Arial" w:eastAsia="Arial" w:hAnsi="Arial"/>
                <w:sz w:val="14"/>
                <w:szCs w:val="14"/>
                <w:b w:val="1"/>
                <w:bCs w:val="1"/>
                <w:color w:val="auto"/>
              </w:rPr>
              <w:t>2.01</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rPr>
              <w:t>1.18</w:t>
            </w:r>
          </w:p>
        </w:tc>
        <w:tc>
          <w:tcPr>
            <w:tcW w:w="1940" w:type="dxa"/>
            <w:vAlign w:val="bottom"/>
          </w:tcPr>
          <w:p>
            <w:pPr>
              <w:jc w:val="center"/>
              <w:ind w:right="449"/>
              <w:spacing w:after="0"/>
              <w:rPr>
                <w:sz w:val="20"/>
                <w:szCs w:val="20"/>
                <w:color w:val="auto"/>
              </w:rPr>
            </w:pPr>
            <w:r>
              <w:rPr>
                <w:rFonts w:ascii="Arial" w:cs="Arial" w:eastAsia="Arial" w:hAnsi="Arial"/>
                <w:sz w:val="14"/>
                <w:szCs w:val="14"/>
                <w:b w:val="1"/>
                <w:bCs w:val="1"/>
                <w:color w:val="auto"/>
              </w:rPr>
              <w:t>70.7%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3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7F7F7F"/>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5863590" cy="685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63590" cy="68580"/>
                    </a:xfrm>
                    <a:prstGeom prst="rect">
                      <a:avLst/>
                    </a:prstGeom>
                    <a:noFill/>
                  </pic:spPr>
                </pic:pic>
              </a:graphicData>
            </a:graphic>
          </wp:anchor>
        </w:drawing>
      </w:r>
    </w:p>
    <w:sectPr>
      <w:pgSz w:w="11900" w:h="16838" w:orient="portrait"/>
      <w:cols w:equalWidth="0" w:num="1">
        <w:col w:w="11220"/>
      </w:cols>
      <w:pgMar w:left="320" w:top="3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lvl w:ilvl="1">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2026-05-05T15:23:48Z</dcterms:created>
  <dcterms:modified xsi:type="dcterms:W3CDTF">2026-05-05T15:23:48Z</dcterms:modified>
</cp:coreProperties>
</file>