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June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1-14728</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 xml:space="preserve">LATAM Airlines Group S.A.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Presidente Riesco 5711, 20th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Las Condes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Santiago, Chile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00" w:after="283"/>
        <w:jc w:val="center"/>
        <w:rPr/>
      </w:pPr>
      <w:r>
        <w:rPr>
          <w:rFonts w:ascii="Times New Roman;serif" w:hAnsi="Times New Roman;serif"/>
          <w:b w:val="false"/>
          <w:color w:val="000000"/>
          <w:sz w:val="20"/>
        </w:rPr>
        <w:t xml:space="preserve">Form 20-F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Form 40-F </w:t>
      </w:r>
      <w:r>
        <w:rPr>
          <w:rFonts w:ascii="Wingdings;sans-serif" w:hAnsi="Wingdings;sans-serif"/>
          <w:b w:val="false"/>
          <w:color w:val="000000"/>
          <w:sz w:val="20"/>
        </w:rPr>
        <w:t>o</w:t>
      </w:r>
    </w:p>
    <w:p>
      <w:pPr>
        <w:pStyle w:val="TextBody"/>
        <w:bidi w:val="0"/>
        <w:spacing w:before="200" w:after="283"/>
        <w:ind w:left="0" w:right="0" w:firstLine="7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LATAM AIRLINES GROUP S.A.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attached:</w:t>
      </w:r>
    </w:p>
    <w:tbl>
      <w:tblPr>
        <w:tblW w:w="5306" w:type="dxa"/>
        <w:jc w:val="left"/>
        <w:tblInd w:w="0" w:type="dxa"/>
        <w:tblLayout w:type="fixed"/>
        <w:tblCellMar>
          <w:top w:w="28" w:type="dxa"/>
          <w:left w:w="28" w:type="dxa"/>
          <w:bottom w:w="28" w:type="dxa"/>
          <w:right w:w="28" w:type="dxa"/>
        </w:tblCellMar>
      </w:tblPr>
      <w:tblGrid>
        <w:gridCol w:w="483"/>
        <w:gridCol w:w="425"/>
        <w:gridCol w:w="426"/>
        <w:gridCol w:w="109"/>
        <w:gridCol w:w="109"/>
        <w:gridCol w:w="109"/>
        <w:gridCol w:w="1067"/>
        <w:gridCol w:w="1067"/>
        <w:gridCol w:w="1511"/>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latamairlinesgroupoperatin.htm">
              <w:r>
                <w:rPr>
                  <w:rStyle w:val="InternetLink"/>
                  <w:rFonts w:ascii="Times New Roman;serif" w:hAnsi="Times New Roman;serif"/>
                  <w:b w:val="false"/>
                  <w:color w:val="0000FF"/>
                  <w:sz w:val="20"/>
                  <w:u w:val="single"/>
                </w:rPr>
                <w:t>LATAM Airlines Group Operating Statistic</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21" w:type="dxa"/>
        <w:jc w:val="left"/>
        <w:tblInd w:w="0" w:type="dxa"/>
        <w:tblLayout w:type="fixed"/>
        <w:tblCellMar>
          <w:top w:w="28" w:type="dxa"/>
          <w:left w:w="28" w:type="dxa"/>
          <w:bottom w:w="28" w:type="dxa"/>
          <w:right w:w="28" w:type="dxa"/>
        </w:tblCellMar>
      </w:tblPr>
      <w:tblGrid>
        <w:gridCol w:w="591"/>
        <w:gridCol w:w="520"/>
        <w:gridCol w:w="523"/>
        <w:gridCol w:w="459"/>
        <w:gridCol w:w="459"/>
        <w:gridCol w:w="459"/>
        <w:gridCol w:w="585"/>
        <w:gridCol w:w="585"/>
        <w:gridCol w:w="84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8, 2026</w:t>
            </w:r>
          </w:p>
        </w:tc>
        <w:tc>
          <w:tcPr>
            <w:tcW w:w="33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LATAM AIRLINES GROUP S.A.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Ricardo Bottas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Ricardo Bottas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823" w:type="dxa"/>
        <w:jc w:val="left"/>
        <w:tblInd w:w="0" w:type="dxa"/>
        <w:tblLayout w:type="fixed"/>
        <w:tblCellMar>
          <w:top w:w="28" w:type="dxa"/>
          <w:left w:w="28" w:type="dxa"/>
          <w:bottom w:w="28" w:type="dxa"/>
          <w:right w:w="28" w:type="dxa"/>
        </w:tblCellMar>
      </w:tblPr>
      <w:tblGrid>
        <w:gridCol w:w="124"/>
        <w:gridCol w:w="109"/>
        <w:gridCol w:w="109"/>
        <w:gridCol w:w="3071"/>
        <w:gridCol w:w="3071"/>
        <w:gridCol w:w="4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064D"/>
              <w:left w:val="single" w:sz="8" w:space="0" w:color="0D064D"/>
              <w:bottom w:val="single" w:sz="8" w:space="0" w:color="0D064D"/>
            </w:tcBorders>
            <w:shd w:fill="0D064D" w:val="clear"/>
            <w:tcMar>
              <w:right w:w="0" w:type="dxa"/>
            </w:tcMar>
            <w:vAlign w:val="center"/>
          </w:tcPr>
          <w:p>
            <w:pPr>
              <w:pStyle w:val="TableContents"/>
              <w:bidi w:val="0"/>
              <w:spacing w:before="0" w:after="283"/>
              <w:jc w:val="left"/>
              <w:rPr>
                <w:sz w:val="4"/>
                <w:szCs w:val="4"/>
              </w:rPr>
            </w:pPr>
            <w:r>
              <w:rPr>
                <w:sz w:val="4"/>
                <w:szCs w:val="4"/>
              </w:rPr>
            </w:r>
          </w:p>
        </w:tc>
        <w:tc>
          <w:tcPr>
            <w:tcW w:w="10481" w:type="dxa"/>
            <w:gridSpan w:val="3"/>
            <w:tcBorders>
              <w:top w:val="single" w:sz="8" w:space="0" w:color="0D064D"/>
              <w:left w:val="single" w:sz="8" w:space="0" w:color="0D064D"/>
              <w:bottom w:val="single" w:sz="8" w:space="0" w:color="0D064D"/>
              <w:right w:val="single" w:sz="8" w:space="0" w:color="0D064D"/>
            </w:tcBorders>
            <w:shd w:fill="0D064D" w:val="clear"/>
            <w:vAlign w:val="center"/>
          </w:tcPr>
          <w:p>
            <w:pPr>
              <w:pStyle w:val="TableContents"/>
              <w:bidi w:val="0"/>
              <w:spacing w:before="0" w:after="160"/>
              <w:jc w:val="right"/>
              <w:rPr/>
            </w:pPr>
            <w:r>
              <w:rPr/>
              <w:drawing>
                <wp:inline distT="0" distB="0" distL="0" distR="0">
                  <wp:extent cx="6572250"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72250" cy="56197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1B0088"/>
          <w:sz w:val="32"/>
        </w:rPr>
      </w:pPr>
      <w:r>
        <w:rPr>
          <w:rFonts w:ascii="Arial;sans-serif" w:hAnsi="Arial;sans-serif"/>
          <w:b/>
          <w:color w:val="1B0088"/>
          <w:sz w:val="32"/>
        </w:rPr>
        <w:t>LATAM group transported 7.2 million passengers in May</w:t>
      </w:r>
    </w:p>
    <w:p>
      <w:pPr>
        <w:pStyle w:val="TextBody"/>
        <w:bidi w:val="0"/>
        <w:spacing w:before="0" w:after="0"/>
        <w:jc w:val="center"/>
        <w:rPr/>
      </w:pPr>
      <w:r>
        <w:rPr/>
      </w:r>
    </w:p>
    <w:p>
      <w:pPr>
        <w:pStyle w:val="TextBody"/>
        <w:bidi w:val="0"/>
        <w:spacing w:lineRule="auto" w:line="319" w:before="0" w:after="200"/>
        <w:jc w:val="left"/>
        <w:rPr>
          <w:rFonts w:ascii="sans-serif" w:hAnsi="sans-serif"/>
          <w:b/>
          <w:color w:val="000000"/>
          <w:sz w:val="22"/>
          <w:u w:val="single"/>
        </w:rPr>
      </w:pPr>
      <w:r>
        <w:rPr>
          <w:rFonts w:ascii="sans-serif" w:hAnsi="sans-serif"/>
          <w:b/>
          <w:color w:val="000000"/>
          <w:sz w:val="22"/>
          <w:u w:val="single"/>
        </w:rPr>
        <w:t>Operating statistics for May 2026</w:t>
      </w:r>
    </w:p>
    <w:p>
      <w:pPr>
        <w:pStyle w:val="TextBody"/>
        <w:bidi w:val="0"/>
        <w:spacing w:lineRule="auto" w:line="268" w:before="0" w:after="0"/>
        <w:jc w:val="both"/>
        <w:rPr/>
      </w:pPr>
      <w:r>
        <w:rPr>
          <w:rFonts w:ascii="sans-serif" w:hAnsi="sans-serif"/>
          <w:b/>
          <w:color w:val="000000"/>
          <w:sz w:val="22"/>
        </w:rPr>
        <w:t>Santiago, June 8, 2026</w:t>
      </w:r>
      <w:r>
        <w:rPr>
          <w:color w:val="000000"/>
        </w:rPr>
        <w:t xml:space="preserve"> </w:t>
      </w:r>
      <w:r>
        <w:rPr>
          <w:rFonts w:ascii="sans-serif" w:hAnsi="sans-serif"/>
          <w:b w:val="false"/>
          <w:color w:val="000000"/>
          <w:sz w:val="21"/>
        </w:rPr>
        <w:t>- During May, LATAM group transported 7.2 million passengers, representing a 5.0% increase compared to the same month of 2025. LATAM group increased its consolidated capacity, measured in available seat-kilometers (ASK), by 10.8% compared to May 2025. This growth was driven by a 14.9% increase in international operations, a 7.2% increase in domestic capacity offered by LATAM Airlines Brazil, together with a 4.5% increase in domestic operations of LATAM Airlines’ affiliates in Chile, Colombia, Ecuador and Peru.</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1"/>
        </w:rPr>
      </w:pPr>
      <w:r>
        <w:rPr>
          <w:rFonts w:ascii="sans-serif" w:hAnsi="sans-serif"/>
          <w:b w:val="false"/>
          <w:color w:val="000000"/>
          <w:sz w:val="21"/>
        </w:rPr>
        <w:t>Notably, the group reopened the international routes Bogotá–Caracas and Buenos Aires (Aeroparque)–Rio de Janeiro, in addition to the long-haul route connecting Fortaleza–Miami, expanding connectivity between Brazil and the United States.</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1"/>
        </w:rPr>
      </w:pPr>
      <w:r>
        <w:rPr>
          <w:rFonts w:ascii="sans-serif" w:hAnsi="sans-serif"/>
          <w:b w:val="false"/>
          <w:color w:val="000000"/>
          <w:sz w:val="21"/>
        </w:rPr>
        <w:t>Consolidated traffic, measured in revenue passenger-kilometers (RPK), increased by 9.6% compared to the same period of 2025, reflecting growth across all segments. While international traffic increased by 13.3%, LATAM Airlines Brazil’s domestic traffic grew 5.9%, and the domestic traffic of LATAM Airlines’ affiliates in Chile, Colombia, Ecuador and Peru, increased by 4.1% compared to May 2025.</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1"/>
        </w:rPr>
      </w:pPr>
      <w:r>
        <w:rPr>
          <w:rFonts w:ascii="sans-serif" w:hAnsi="sans-serif"/>
          <w:b w:val="false"/>
          <w:color w:val="000000"/>
          <w:sz w:val="21"/>
        </w:rPr>
        <w:t>As a result, the consolidated load factor was 82.2% in May, a decrease of 0.9 percentage points compared to the same month of the previous year.</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1"/>
        </w:rPr>
      </w:pPr>
      <w:r>
        <w:rPr>
          <w:rFonts w:ascii="sans-serif" w:hAnsi="sans-serif"/>
          <w:b w:val="false"/>
          <w:color w:val="000000"/>
          <w:sz w:val="21"/>
        </w:rPr>
        <w:t>In terms of cargo operations, capacity measured in available ton-kilometers (ATK) reached 730 million in May, 6.0% more compared to the same month of the previous year, and 88 thousand tons of cargo were transported.</w:t>
      </w:r>
    </w:p>
    <w:p>
      <w:pPr>
        <w:pStyle w:val="TextBody"/>
        <w:bidi w:val="0"/>
        <w:spacing w:before="0" w:after="0"/>
        <w:jc w:val="both"/>
        <w:rPr/>
      </w:pPr>
      <w:r>
        <w:rPr/>
      </w:r>
    </w:p>
    <w:p>
      <w:pPr>
        <w:pStyle w:val="TextBody"/>
        <w:bidi w:val="0"/>
        <w:spacing w:lineRule="auto" w:line="319" w:before="0" w:after="200"/>
        <w:jc w:val="left"/>
        <w:rPr>
          <w:rFonts w:ascii="sans-serif" w:hAnsi="sans-serif"/>
          <w:b w:val="false"/>
          <w:color w:val="000000"/>
          <w:sz w:val="21"/>
        </w:rPr>
      </w:pPr>
      <w:r>
        <w:rPr>
          <w:rFonts w:ascii="sans-serif" w:hAnsi="sans-serif"/>
          <w:b w:val="false"/>
          <w:color w:val="000000"/>
          <w:sz w:val="21"/>
        </w:rPr>
        <w:t>The following table summarizes the main operating statistics for the month and year-to-date as of May for the main LATAM group business segments:</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45540"/>
                <wp:effectExtent l="0" t="0" r="0" b="0"/>
                <wp:wrapNone/>
                <wp:docPr id="5" name="Frame4"/>
                <a:graphic xmlns:a="http://schemas.openxmlformats.org/drawingml/2006/main">
                  <a:graphicData uri="http://schemas.microsoft.com/office/word/2010/wordprocessingShape">
                    <wps:wsp>
                      <wps:cNvSpPr txBox="1"/>
                      <wps:spPr>
                        <a:xfrm>
                          <a:off x="0" y="0"/>
                          <a:ext cx="6480175" cy="11455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drawing>
                                <wp:inline distT="0" distB="0" distL="0" distR="0">
                                  <wp:extent cx="6515100" cy="762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6515100" cy="762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v:textbox>
                <w10:wrap type="none"/>
              </v:rect>
            </w:pict>
          </mc:Fallback>
        </mc:AlternateContent>
      </w:r>
    </w:p>
    <w:tbl>
      <w:tblPr>
        <w:tblW w:w="10823" w:type="dxa"/>
        <w:jc w:val="left"/>
        <w:tblInd w:w="0" w:type="dxa"/>
        <w:tblLayout w:type="fixed"/>
        <w:tblCellMar>
          <w:top w:w="28" w:type="dxa"/>
          <w:left w:w="28" w:type="dxa"/>
          <w:bottom w:w="28" w:type="dxa"/>
          <w:right w:w="28" w:type="dxa"/>
        </w:tblCellMar>
      </w:tblPr>
      <w:tblGrid>
        <w:gridCol w:w="124"/>
        <w:gridCol w:w="109"/>
        <w:gridCol w:w="109"/>
        <w:gridCol w:w="3071"/>
        <w:gridCol w:w="3071"/>
        <w:gridCol w:w="4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064D"/>
              <w:left w:val="single" w:sz="8" w:space="0" w:color="0D064D"/>
              <w:bottom w:val="single" w:sz="8" w:space="0" w:color="0D064D"/>
            </w:tcBorders>
            <w:shd w:fill="0D064D" w:val="clear"/>
            <w:tcMar>
              <w:right w:w="0" w:type="dxa"/>
            </w:tcMar>
            <w:vAlign w:val="center"/>
          </w:tcPr>
          <w:p>
            <w:pPr>
              <w:pStyle w:val="TableContents"/>
              <w:bidi w:val="0"/>
              <w:spacing w:before="0" w:after="283"/>
              <w:jc w:val="left"/>
              <w:rPr>
                <w:sz w:val="4"/>
                <w:szCs w:val="4"/>
              </w:rPr>
            </w:pPr>
            <w:r>
              <w:rPr>
                <w:sz w:val="4"/>
                <w:szCs w:val="4"/>
              </w:rPr>
            </w:r>
          </w:p>
        </w:tc>
        <w:tc>
          <w:tcPr>
            <w:tcW w:w="10481" w:type="dxa"/>
            <w:gridSpan w:val="3"/>
            <w:tcBorders>
              <w:top w:val="single" w:sz="8" w:space="0" w:color="0D064D"/>
              <w:left w:val="single" w:sz="8" w:space="0" w:color="0D064D"/>
              <w:bottom w:val="single" w:sz="8" w:space="0" w:color="0D064D"/>
              <w:right w:val="single" w:sz="8" w:space="0" w:color="0D064D"/>
            </w:tcBorders>
            <w:shd w:fill="0D064D" w:val="clear"/>
            <w:vAlign w:val="center"/>
          </w:tcPr>
          <w:p>
            <w:pPr>
              <w:pStyle w:val="TableContents"/>
              <w:bidi w:val="0"/>
              <w:spacing w:before="0" w:after="160"/>
              <w:jc w:val="right"/>
              <w:rPr/>
            </w:pPr>
            <w:r>
              <w:rPr/>
              <w:drawing>
                <wp:inline distT="0" distB="0" distL="0" distR="0">
                  <wp:extent cx="6572250" cy="5619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6572250" cy="561975"/>
                          </a:xfrm>
                          <a:prstGeom prst="rect">
                            <a:avLst/>
                          </a:prstGeom>
                        </pic:spPr>
                      </pic:pic>
                    </a:graphicData>
                  </a:graphic>
                </wp:inline>
              </w:drawing>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7"/>
        <w:gridCol w:w="842"/>
        <w:gridCol w:w="845"/>
        <w:gridCol w:w="351"/>
        <w:gridCol w:w="351"/>
        <w:gridCol w:w="355"/>
        <w:gridCol w:w="351"/>
        <w:gridCol w:w="351"/>
        <w:gridCol w:w="355"/>
        <w:gridCol w:w="477"/>
        <w:gridCol w:w="477"/>
        <w:gridCol w:w="478"/>
        <w:gridCol w:w="123"/>
        <w:gridCol w:w="193"/>
        <w:gridCol w:w="193"/>
        <w:gridCol w:w="317"/>
        <w:gridCol w:w="317"/>
        <w:gridCol w:w="299"/>
        <w:gridCol w:w="309"/>
        <w:gridCol w:w="309"/>
        <w:gridCol w:w="313"/>
        <w:gridCol w:w="420"/>
        <w:gridCol w:w="420"/>
        <w:gridCol w:w="421"/>
        <w:gridCol w:w="161"/>
      </w:tblGrid>
      <w:tr>
        <w:trPr/>
        <w:tc>
          <w:tcPr>
            <w:tcW w:w="117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vMerge w:val="restart"/>
            <w:tcBorders>
              <w:top w:val="single" w:sz="2" w:space="0" w:color="1B0088"/>
              <w:left w:val="single" w:sz="2" w:space="0" w:color="1B0088"/>
              <w:bottom w:val="single" w:sz="2" w:space="0" w:color="1B0088"/>
            </w:tcBorders>
            <w:shd w:fill="1B0074" w:val="clear"/>
            <w:tcMar>
              <w:top w:w="30" w:type="dxa"/>
              <w:left w:w="75" w:type="dxa"/>
              <w:bottom w:w="30" w:type="dxa"/>
              <w:right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LATAM GROUP OPERATIONS</w:t>
            </w:r>
          </w:p>
        </w:tc>
        <w:tc>
          <w:tcPr>
            <w:tcW w:w="3546" w:type="dxa"/>
            <w:gridSpan w:val="9"/>
            <w:tcBorders>
              <w:top w:val="single" w:sz="2" w:space="0" w:color="1B0088"/>
            </w:tcBorders>
            <w:shd w:fill="1B0074"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May</w:t>
            </w:r>
          </w:p>
        </w:tc>
        <w:tc>
          <w:tcPr>
            <w:tcW w:w="123" w:type="dxa"/>
            <w:tcBorders/>
            <w:vAlign w:val="center"/>
          </w:tcPr>
          <w:p>
            <w:pPr>
              <w:pStyle w:val="TableContents"/>
              <w:bidi w:val="0"/>
              <w:spacing w:before="0" w:after="283"/>
              <w:jc w:val="left"/>
              <w:rPr>
                <w:sz w:val="4"/>
                <w:szCs w:val="4"/>
              </w:rPr>
            </w:pPr>
            <w:r>
              <w:rPr>
                <w:sz w:val="4"/>
                <w:szCs w:val="4"/>
              </w:rPr>
            </w:r>
          </w:p>
        </w:tc>
        <w:tc>
          <w:tcPr>
            <w:tcW w:w="1319" w:type="dxa"/>
            <w:gridSpan w:val="5"/>
            <w:tcBorders>
              <w:top w:val="single" w:sz="2" w:space="0" w:color="1B0088"/>
              <w:right w:val="single" w:sz="2" w:space="0" w:color="1B0088"/>
            </w:tcBorders>
            <w:shd w:fill="1B0074" w:val="clear"/>
            <w:tcMar>
              <w:top w:w="30" w:type="dxa"/>
              <w:left w:w="0" w:type="dxa"/>
              <w:bottom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Year to Date</w:t>
            </w:r>
          </w:p>
        </w:tc>
        <w:tc>
          <w:tcPr>
            <w:tcW w:w="2192" w:type="dxa"/>
            <w:gridSpan w:val="6"/>
            <w:tcBorders/>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top w:val="single" w:sz="2" w:space="0" w:color="1B0088"/>
              <w:left w:val="single" w:sz="2" w:space="0" w:color="1B0088"/>
              <w:bottom w:val="single" w:sz="2" w:space="0" w:color="1B0088"/>
            </w:tcBorders>
            <w:shd w:fill="1B0074" w:val="clear"/>
            <w:tcMar>
              <w:top w:w="30" w:type="dxa"/>
              <w:left w:w="75" w:type="dxa"/>
              <w:bottom w:w="30" w:type="dxa"/>
              <w:right w:w="0" w:type="dxa"/>
            </w:tcMar>
            <w:vAlign w:val="center"/>
          </w:tcPr>
          <w:p>
            <w:pPr>
              <w:pStyle w:val="Normal"/>
              <w:bidi w:val="0"/>
              <w:jc w:val="left"/>
              <w:rPr/>
            </w:pPr>
            <w:r>
              <w:rPr/>
            </w:r>
          </w:p>
        </w:tc>
        <w:tc>
          <w:tcPr>
            <w:tcW w:w="1057"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2026</w:t>
            </w:r>
          </w:p>
        </w:tc>
        <w:tc>
          <w:tcPr>
            <w:tcW w:w="1057"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2025</w:t>
            </w:r>
          </w:p>
        </w:tc>
        <w:tc>
          <w:tcPr>
            <w:tcW w:w="1432"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 Change</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2026</w:t>
            </w:r>
          </w:p>
        </w:tc>
        <w:tc>
          <w:tcPr>
            <w:tcW w:w="93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2025</w:t>
            </w:r>
          </w:p>
        </w:tc>
        <w:tc>
          <w:tcPr>
            <w:tcW w:w="1261" w:type="dxa"/>
            <w:gridSpan w:val="3"/>
            <w:tcBorders>
              <w:bottom w:val="single" w:sz="2" w:space="0" w:color="1B0088"/>
              <w:right w:val="single" w:sz="2" w:space="0" w:color="1B0088"/>
            </w:tcBorders>
            <w:shd w:fill="1B0074" w:val="clear"/>
            <w:tcMar>
              <w:top w:w="0" w:type="dxa"/>
              <w:left w:w="0" w:type="dxa"/>
              <w:bottom w:w="3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 Change</w:t>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vMerge w:val="restart"/>
            <w:tcBorders>
              <w:bottom w:val="single" w:sz="2" w:space="0" w:color="1B0088"/>
            </w:tcBorders>
            <w:tcMar>
              <w:top w:w="0" w:type="dxa"/>
              <w:left w:w="0" w:type="dxa"/>
              <w:bottom w:w="3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LATAM GROUP PASSENGER OPERATIONS</w:t>
            </w:r>
          </w:p>
        </w:tc>
        <w:tc>
          <w:tcPr>
            <w:tcW w:w="3125" w:type="dxa"/>
            <w:gridSpan w:val="9"/>
            <w:tcBorders/>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vMerge w:val="continue"/>
            <w:tcBorders>
              <w:bottom w:val="single" w:sz="2" w:space="0" w:color="1B0088"/>
            </w:tcBorders>
            <w:tcMar>
              <w:top w:w="0" w:type="dxa"/>
              <w:left w:w="0" w:type="dxa"/>
              <w:bottom w:w="30" w:type="dxa"/>
              <w:right w:w="0" w:type="dxa"/>
            </w:tcMar>
            <w:vAlign w:val="center"/>
          </w:tcPr>
          <w:p>
            <w:pPr>
              <w:pStyle w:val="Normal"/>
              <w:bidi w:val="0"/>
              <w:jc w:val="left"/>
              <w:rPr/>
            </w:pPr>
            <w:r>
              <w:rPr/>
            </w:r>
          </w:p>
        </w:tc>
        <w:tc>
          <w:tcPr>
            <w:tcW w:w="3286" w:type="dxa"/>
            <w:gridSpan w:val="10"/>
            <w:tcBorders/>
            <w:vAlign w:val="center"/>
          </w:tcPr>
          <w:p>
            <w:pPr>
              <w:pStyle w:val="TableContents"/>
              <w:bidi w:val="0"/>
              <w:spacing w:before="0" w:after="283"/>
              <w:jc w:val="left"/>
              <w:rPr>
                <w:sz w:val="4"/>
                <w:szCs w:val="4"/>
              </w:rPr>
            </w:pPr>
            <w:r>
              <w:rPr>
                <w:sz w:val="4"/>
                <w:szCs w:val="4"/>
              </w:rPr>
            </w:r>
          </w:p>
        </w:tc>
      </w:tr>
      <w:tr>
        <w:trPr/>
        <w:tc>
          <w:tcPr>
            <w:tcW w:w="6919" w:type="dxa"/>
            <w:gridSpan w:val="15"/>
            <w:tcBorders>
              <w:top w:val="single" w:sz="2" w:space="0" w:color="1B0088"/>
              <w:left w:val="single" w:sz="2" w:space="0" w:color="1B0088"/>
              <w:right w:val="single" w:sz="2" w:space="0" w:color="1B0088"/>
            </w:tcBorders>
            <w:shd w:fill="1B0074" w:val="clear"/>
            <w:tcMar>
              <w:top w:w="3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REVENUE PASSENGER KILOMETERS (million)</w:t>
            </w:r>
          </w:p>
        </w:tc>
        <w:tc>
          <w:tcPr>
            <w:tcW w:w="3286" w:type="dxa"/>
            <w:gridSpan w:val="10"/>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1057"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12,473</w:t>
            </w:r>
          </w:p>
        </w:tc>
        <w:tc>
          <w:tcPr>
            <w:tcW w:w="1057"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11,378</w:t>
            </w:r>
          </w:p>
        </w:tc>
        <w:tc>
          <w:tcPr>
            <w:tcW w:w="1432"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9.6%</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4" w:space="0" w:color="1B0074"/>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63,145</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56,820</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11.1%</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SSC (1)</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1,813</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1,742</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4.1%</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9,867</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9,564</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3.2%</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BRAZIL (2)</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3,718</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3,510</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5.9%</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18,608</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16,907</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10.1%</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INTERNATIONAL (3)</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6,941</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6,126</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13.3%</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34,670</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30,350</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14.2%</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tcBorders>
              <w:left w:val="single" w:sz="2" w:space="0" w:color="1B0088"/>
              <w:right w:val="single" w:sz="2" w:space="0" w:color="1B0088"/>
            </w:tcBorders>
            <w:shd w:fill="1B0074" w:val="clear"/>
            <w:tcMar>
              <w:top w:w="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AVAILABLE SEAT KILOMETERS (million)</w:t>
            </w:r>
          </w:p>
        </w:tc>
        <w:tc>
          <w:tcPr>
            <w:tcW w:w="3286" w:type="dxa"/>
            <w:gridSpan w:val="10"/>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1057"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15,165</w:t>
            </w:r>
          </w:p>
        </w:tc>
        <w:tc>
          <w:tcPr>
            <w:tcW w:w="1057"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13,685</w:t>
            </w:r>
          </w:p>
        </w:tc>
        <w:tc>
          <w:tcPr>
            <w:tcW w:w="1432"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10.8%</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75,068</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68,200</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10.1%</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SSC (1)</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2,303</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2,203</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4.5%</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11,872</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11,692</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1.5%</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BRAZIL (2)</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4,588</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4,279</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7.2%</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22,761</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20,812</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9.4%</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INTERNATIONAL (3)</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8,275</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7,203</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14.9%</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40,435</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35,695</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13.3%</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tcBorders>
              <w:left w:val="single" w:sz="2" w:space="0" w:color="1B0088"/>
              <w:right w:val="single" w:sz="2" w:space="0" w:color="1B0088"/>
            </w:tcBorders>
            <w:shd w:fill="1B0074" w:val="clear"/>
            <w:tcMar>
              <w:top w:w="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PASSENGER LOAD FACTOR</w:t>
            </w:r>
          </w:p>
        </w:tc>
        <w:tc>
          <w:tcPr>
            <w:tcW w:w="3286" w:type="dxa"/>
            <w:gridSpan w:val="10"/>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1057"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82.2%</w:t>
            </w:r>
          </w:p>
        </w:tc>
        <w:tc>
          <w:tcPr>
            <w:tcW w:w="1057"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83.1%</w:t>
            </w:r>
          </w:p>
        </w:tc>
        <w:tc>
          <w:tcPr>
            <w:tcW w:w="1432"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-0.9p.p</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84.1%</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83.3%</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0.8p.p</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SSC (1)</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78.8%</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79.1%</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-0.3p.p</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83.1%</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81.8%</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1.3p.p</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BRAZIL (2)</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81.0%</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82.0%</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-1.0p.p</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81.8%</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81.2%</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0.5p.p</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INTERNATIONAL (3)</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83.9%</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85.1%</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-1.2p.p</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85.7%</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85.0%</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0.7p.p</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tcBorders>
              <w:left w:val="single" w:sz="2" w:space="0" w:color="1B0088"/>
              <w:right w:val="single" w:sz="2" w:space="0" w:color="1B0088"/>
            </w:tcBorders>
            <w:shd w:fill="1B0074" w:val="clear"/>
            <w:tcMar>
              <w:top w:w="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PASSENGER BOARDED (thousand)</w:t>
            </w:r>
          </w:p>
        </w:tc>
        <w:tc>
          <w:tcPr>
            <w:tcW w:w="3286" w:type="dxa"/>
            <w:gridSpan w:val="10"/>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1057"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7,231</w:t>
            </w:r>
          </w:p>
        </w:tc>
        <w:tc>
          <w:tcPr>
            <w:tcW w:w="1057"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6,888</w:t>
            </w:r>
          </w:p>
        </w:tc>
        <w:tc>
          <w:tcPr>
            <w:tcW w:w="1432"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5.0%</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37,021</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34,579</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7.1%</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SSC (1)</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2,437</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2,371</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2.8%</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12,946</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12,630</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2.5%</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BRAZIL (2)</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3,293</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3,129</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5.2%</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16,260</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14,907</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9.1%</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INTERNATIONAL (3)</w:t>
            </w:r>
          </w:p>
        </w:tc>
        <w:tc>
          <w:tcPr>
            <w:tcW w:w="1057"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1,501</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1,389</w:t>
            </w:r>
          </w:p>
        </w:tc>
        <w:tc>
          <w:tcPr>
            <w:tcW w:w="143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7,815</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7,043</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11.0%</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vMerge w:val="restart"/>
            <w:tcBorders>
              <w:bottom w:val="single" w:sz="2" w:space="0" w:color="1B0088"/>
            </w:tcBorders>
            <w:tcMar>
              <w:top w:w="0" w:type="dxa"/>
              <w:left w:w="0" w:type="dxa"/>
              <w:bottom w:w="3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LATAM GROUP CARGO OPERATIONS</w:t>
            </w:r>
          </w:p>
        </w:tc>
        <w:tc>
          <w:tcPr>
            <w:tcW w:w="3286" w:type="dxa"/>
            <w:gridSpan w:val="10"/>
            <w:tcBorders/>
          </w:tcPr>
          <w:p>
            <w:pPr>
              <w:pStyle w:val="TableContents"/>
              <w:bidi w:val="0"/>
              <w:spacing w:before="0" w:after="283"/>
              <w:jc w:val="left"/>
              <w:rPr>
                <w:sz w:val="4"/>
                <w:szCs w:val="4"/>
              </w:rPr>
            </w:pPr>
            <w:r>
              <w:rPr>
                <w:sz w:val="4"/>
                <w:szCs w:val="4"/>
              </w:rPr>
            </w:r>
          </w:p>
        </w:tc>
      </w:tr>
      <w:tr>
        <w:trPr/>
        <w:tc>
          <w:tcPr>
            <w:tcW w:w="6919" w:type="dxa"/>
            <w:gridSpan w:val="15"/>
            <w:vMerge w:val="continue"/>
            <w:tcBorders>
              <w:bottom w:val="single" w:sz="2" w:space="0" w:color="1B0088"/>
            </w:tcBorders>
            <w:tcMar>
              <w:top w:w="0" w:type="dxa"/>
              <w:left w:w="0" w:type="dxa"/>
              <w:bottom w:w="30" w:type="dxa"/>
              <w:right w:w="0" w:type="dxa"/>
            </w:tcMar>
            <w:vAlign w:val="center"/>
          </w:tcPr>
          <w:p>
            <w:pPr>
              <w:pStyle w:val="Normal"/>
              <w:bidi w:val="0"/>
              <w:jc w:val="left"/>
              <w:rPr/>
            </w:pPr>
            <w:r>
              <w:rPr/>
            </w:r>
          </w:p>
        </w:tc>
        <w:tc>
          <w:tcPr>
            <w:tcW w:w="3286" w:type="dxa"/>
            <w:gridSpan w:val="10"/>
            <w:tcBorders/>
            <w:vAlign w:val="center"/>
          </w:tcPr>
          <w:p>
            <w:pPr>
              <w:pStyle w:val="TableContents"/>
              <w:bidi w:val="0"/>
              <w:spacing w:before="0" w:after="283"/>
              <w:jc w:val="left"/>
              <w:rPr>
                <w:sz w:val="4"/>
                <w:szCs w:val="4"/>
              </w:rPr>
            </w:pPr>
            <w:r>
              <w:rPr>
                <w:sz w:val="4"/>
                <w:szCs w:val="4"/>
              </w:rPr>
            </w:r>
          </w:p>
        </w:tc>
      </w:tr>
      <w:tr>
        <w:trPr/>
        <w:tc>
          <w:tcPr>
            <w:tcW w:w="6919" w:type="dxa"/>
            <w:gridSpan w:val="15"/>
            <w:tcBorders>
              <w:top w:val="single" w:sz="2" w:space="0" w:color="1B0088"/>
              <w:left w:val="single" w:sz="2" w:space="0" w:color="1B0088"/>
              <w:right w:val="single" w:sz="2" w:space="0" w:color="1B0088"/>
            </w:tcBorders>
            <w:shd w:fill="1B0074" w:val="clear"/>
            <w:tcMar>
              <w:top w:w="3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REVENUE TON KILOMETERS (Cargo) (million)</w:t>
            </w:r>
          </w:p>
        </w:tc>
        <w:tc>
          <w:tcPr>
            <w:tcW w:w="3286" w:type="dxa"/>
            <w:gridSpan w:val="10"/>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1057"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386</w:t>
            </w:r>
          </w:p>
        </w:tc>
        <w:tc>
          <w:tcPr>
            <w:tcW w:w="1057"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367</w:t>
            </w:r>
          </w:p>
        </w:tc>
        <w:tc>
          <w:tcPr>
            <w:tcW w:w="1432"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5.0%</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1,876</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1,822</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3.0%</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tcBorders>
              <w:left w:val="single" w:sz="2" w:space="0" w:color="1B0088"/>
              <w:right w:val="single" w:sz="2" w:space="0" w:color="1B0088"/>
            </w:tcBorders>
            <w:shd w:fill="1B0074" w:val="clear"/>
            <w:tcMar>
              <w:top w:w="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AVAILABLE TON KILOMETERS (Cargo) (million)</w:t>
            </w:r>
          </w:p>
        </w:tc>
        <w:tc>
          <w:tcPr>
            <w:tcW w:w="3286" w:type="dxa"/>
            <w:gridSpan w:val="10"/>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1057"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730</w:t>
            </w:r>
          </w:p>
        </w:tc>
        <w:tc>
          <w:tcPr>
            <w:tcW w:w="1057"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688</w:t>
            </w:r>
          </w:p>
        </w:tc>
        <w:tc>
          <w:tcPr>
            <w:tcW w:w="1432"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6.0%</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3,615</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3,398</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6.4%</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shd w:fill="1B0074"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CARGO LOAD FACTOR</w:t>
            </w:r>
          </w:p>
        </w:tc>
        <w:tc>
          <w:tcPr>
            <w:tcW w:w="1057" w:type="dxa"/>
            <w:gridSpan w:val="3"/>
            <w:tcBorders>
              <w:top w:val="single" w:sz="2" w:space="0" w:color="1B0088"/>
              <w:left w:val="single" w:sz="4" w:space="0" w:color="1B0074"/>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4" w:space="0" w:color="1B0074"/>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right w:val="single" w:sz="2" w:space="0" w:color="1B0088"/>
            </w:tcBorders>
            <w:shd w:fill="1B0074" w:val="clear"/>
            <w:tcMar>
              <w:left w:w="0" w:type="dxa"/>
              <w:bottom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bottom w:val="single" w:sz="2" w:space="0" w:color="1B0088"/>
            </w:tcBorders>
            <w:tcMar>
              <w:top w:w="30" w:type="dxa"/>
              <w:left w:w="75" w:type="dxa"/>
              <w:bottom w:w="3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1057" w:type="dxa"/>
            <w:gridSpan w:val="3"/>
            <w:tcBorders>
              <w:top w:val="single" w:sz="2" w:space="0" w:color="1B0088"/>
              <w:left w:val="single" w:sz="2" w:space="0" w:color="1B0088"/>
              <w:bottom w:val="single" w:sz="2" w:space="0" w:color="1B0088"/>
            </w:tcBorders>
            <w:tcMar>
              <w:top w:w="3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52.9%</w:t>
            </w:r>
          </w:p>
        </w:tc>
        <w:tc>
          <w:tcPr>
            <w:tcW w:w="1057" w:type="dxa"/>
            <w:gridSpan w:val="3"/>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53.3%</w:t>
            </w:r>
          </w:p>
        </w:tc>
        <w:tc>
          <w:tcPr>
            <w:tcW w:w="1432" w:type="dxa"/>
            <w:gridSpan w:val="3"/>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-0.5p.p</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2" w:space="0" w:color="1B0088"/>
              <w:bottom w:val="single" w:sz="2" w:space="0" w:color="1B0088"/>
            </w:tcBorders>
            <w:tcMar>
              <w:top w:w="3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51.9%</w:t>
            </w:r>
          </w:p>
        </w:tc>
        <w:tc>
          <w:tcPr>
            <w:tcW w:w="931" w:type="dxa"/>
            <w:gridSpan w:val="3"/>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53.6%</w:t>
            </w:r>
          </w:p>
        </w:tc>
        <w:tc>
          <w:tcPr>
            <w:tcW w:w="1261" w:type="dxa"/>
            <w:gridSpan w:val="3"/>
            <w:tcBorders>
              <w:top w:val="single" w:sz="2" w:space="0" w:color="1B0088"/>
              <w:bottom w:val="single" w:sz="2" w:space="0" w:color="1B0088"/>
              <w:right w:val="single" w:sz="2" w:space="0" w:color="1B0088"/>
            </w:tcBorders>
            <w:tcMar>
              <w:top w:w="30" w:type="dxa"/>
              <w:left w:w="0" w:type="dxa"/>
              <w:bottom w:w="3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-1.7p.p</w:t>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10"/>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shd w:fill="1B0074"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CARGO TONS TRANSPORTED (thousand)</w:t>
            </w:r>
          </w:p>
        </w:tc>
        <w:tc>
          <w:tcPr>
            <w:tcW w:w="1057" w:type="dxa"/>
            <w:gridSpan w:val="3"/>
            <w:tcBorders>
              <w:top w:val="single" w:sz="2" w:space="0" w:color="1B0088"/>
              <w:left w:val="single" w:sz="2" w:space="0" w:color="1B0088"/>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4" w:space="0" w:color="1B0074"/>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left w:val="single" w:sz="2" w:space="0" w:color="1B0088"/>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right w:val="single" w:sz="2" w:space="0" w:color="1B0088"/>
            </w:tcBorders>
            <w:shd w:fill="1B0074" w:val="clear"/>
            <w:tcMar>
              <w:left w:w="0" w:type="dxa"/>
              <w:bottom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1057"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88</w:t>
            </w:r>
          </w:p>
        </w:tc>
        <w:tc>
          <w:tcPr>
            <w:tcW w:w="1057"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86</w:t>
            </w:r>
          </w:p>
        </w:tc>
        <w:tc>
          <w:tcPr>
            <w:tcW w:w="1432"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2.4%</w:t>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431</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420</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2.5%</w:t>
            </w:r>
          </w:p>
        </w:tc>
        <w:tc>
          <w:tcPr>
            <w:tcW w:w="161"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919" w:type="dxa"/>
            <w:gridSpan w:val="15"/>
            <w:tcBorders/>
            <w:tcMar>
              <w:top w:w="0" w:type="dxa"/>
              <w:left w:w="0" w:type="dxa"/>
              <w:bottom w:w="0" w:type="dxa"/>
              <w:right w:w="0" w:type="dxa"/>
            </w:tcMar>
            <w:vAlign w:val="center"/>
          </w:tcPr>
          <w:p>
            <w:pPr>
              <w:pStyle w:val="TableContents"/>
              <w:bidi w:val="0"/>
              <w:spacing w:lineRule="auto" w:line="319" w:before="0" w:after="0"/>
              <w:jc w:val="left"/>
              <w:rPr>
                <w:rFonts w:ascii="sans-serif" w:hAnsi="sans-serif"/>
                <w:b w:val="false"/>
                <w:color w:val="000000"/>
                <w:sz w:val="21"/>
              </w:rPr>
            </w:pPr>
            <w:r>
              <w:rPr>
                <w:rFonts w:ascii="sans-serif" w:hAnsi="sans-serif"/>
                <w:b w:val="false"/>
                <w:color w:val="000000"/>
                <w:sz w:val="21"/>
              </w:rPr>
              <w:t>(1) Domestic SSC refers to domestic operations of LATAM Airlines Chile, LATAM Airlines Colombia, LATAM Airlines Ecuador and LATAM Airlines Peru.</w:t>
            </w:r>
          </w:p>
        </w:tc>
        <w:tc>
          <w:tcPr>
            <w:tcW w:w="3286" w:type="dxa"/>
            <w:gridSpan w:val="10"/>
            <w:tcBorders/>
          </w:tcPr>
          <w:p>
            <w:pPr>
              <w:pStyle w:val="TableContents"/>
              <w:bidi w:val="0"/>
              <w:spacing w:before="0" w:after="283"/>
              <w:jc w:val="left"/>
              <w:rPr>
                <w:sz w:val="4"/>
                <w:szCs w:val="4"/>
              </w:rPr>
            </w:pPr>
            <w:r>
              <w:rPr>
                <w:sz w:val="4"/>
                <w:szCs w:val="4"/>
              </w:rPr>
            </w:r>
          </w:p>
        </w:tc>
      </w:tr>
      <w:tr>
        <w:trPr/>
        <w:tc>
          <w:tcPr>
            <w:tcW w:w="6919" w:type="dxa"/>
            <w:gridSpan w:val="15"/>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 xml:space="preserve">(2) Domestic Brazil refers to LATAM Airlines Brazil domestic operations. </w:t>
            </w:r>
          </w:p>
        </w:tc>
        <w:tc>
          <w:tcPr>
            <w:tcW w:w="3286" w:type="dxa"/>
            <w:gridSpan w:val="10"/>
            <w:tcBorders/>
          </w:tcPr>
          <w:p>
            <w:pPr>
              <w:pStyle w:val="TableContents"/>
              <w:bidi w:val="0"/>
              <w:spacing w:before="0" w:after="283"/>
              <w:jc w:val="left"/>
              <w:rPr>
                <w:sz w:val="4"/>
                <w:szCs w:val="4"/>
              </w:rPr>
            </w:pPr>
            <w:r>
              <w:rPr>
                <w:sz w:val="4"/>
                <w:szCs w:val="4"/>
              </w:rPr>
            </w:r>
          </w:p>
        </w:tc>
      </w:tr>
      <w:tr>
        <w:trPr/>
        <w:tc>
          <w:tcPr>
            <w:tcW w:w="6919" w:type="dxa"/>
            <w:gridSpan w:val="15"/>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(3) International refers to international operations of LATAM Airlines Brazil, LATAM Airlines Chile, LATAM Airlines Colombia, LATAM Airlines Ecuador, LATAM Airlines Peru and LATAM Airlines Paraguay.</w:t>
            </w:r>
          </w:p>
        </w:tc>
        <w:tc>
          <w:tcPr>
            <w:tcW w:w="3286" w:type="dxa"/>
            <w:gridSpan w:val="1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45540"/>
                <wp:effectExtent l="0" t="0" r="0" b="0"/>
                <wp:wrapNone/>
                <wp:docPr id="9" name="Frame5"/>
                <a:graphic xmlns:a="http://schemas.openxmlformats.org/drawingml/2006/main">
                  <a:graphicData uri="http://schemas.microsoft.com/office/word/2010/wordprocessingShape">
                    <wps:wsp>
                      <wps:cNvSpPr txBox="1"/>
                      <wps:spPr>
                        <a:xfrm>
                          <a:off x="0" y="0"/>
                          <a:ext cx="6480175" cy="11455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drawing>
                                <wp:inline distT="0" distB="0" distL="0" distR="0">
                                  <wp:extent cx="6515100" cy="762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6"/>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6515100" cy="762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7"/>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v:textbox>
                <w10:wrap type="none"/>
              </v:rect>
            </w:pict>
          </mc:Fallback>
        </mc:AlternateContent>
      </w:r>
    </w:p>
    <w:tbl>
      <w:tblPr>
        <w:tblW w:w="10823" w:type="dxa"/>
        <w:jc w:val="left"/>
        <w:tblInd w:w="0" w:type="dxa"/>
        <w:tblLayout w:type="fixed"/>
        <w:tblCellMar>
          <w:top w:w="28" w:type="dxa"/>
          <w:left w:w="28" w:type="dxa"/>
          <w:bottom w:w="28" w:type="dxa"/>
          <w:right w:w="28" w:type="dxa"/>
        </w:tblCellMar>
      </w:tblPr>
      <w:tblGrid>
        <w:gridCol w:w="124"/>
        <w:gridCol w:w="109"/>
        <w:gridCol w:w="109"/>
        <w:gridCol w:w="3071"/>
        <w:gridCol w:w="3071"/>
        <w:gridCol w:w="4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064D"/>
              <w:left w:val="single" w:sz="8" w:space="0" w:color="0D064D"/>
              <w:bottom w:val="single" w:sz="8" w:space="0" w:color="0D064D"/>
            </w:tcBorders>
            <w:shd w:fill="0D064D" w:val="clear"/>
            <w:tcMar>
              <w:right w:w="0" w:type="dxa"/>
            </w:tcMar>
            <w:vAlign w:val="center"/>
          </w:tcPr>
          <w:p>
            <w:pPr>
              <w:pStyle w:val="TableContents"/>
              <w:bidi w:val="0"/>
              <w:spacing w:before="0" w:after="283"/>
              <w:jc w:val="left"/>
              <w:rPr>
                <w:sz w:val="4"/>
                <w:szCs w:val="4"/>
              </w:rPr>
            </w:pPr>
            <w:r>
              <w:rPr>
                <w:sz w:val="4"/>
                <w:szCs w:val="4"/>
              </w:rPr>
            </w:r>
          </w:p>
        </w:tc>
        <w:tc>
          <w:tcPr>
            <w:tcW w:w="10481" w:type="dxa"/>
            <w:gridSpan w:val="3"/>
            <w:tcBorders>
              <w:top w:val="single" w:sz="8" w:space="0" w:color="0D064D"/>
              <w:left w:val="single" w:sz="8" w:space="0" w:color="0D064D"/>
              <w:bottom w:val="single" w:sz="8" w:space="0" w:color="0D064D"/>
              <w:right w:val="single" w:sz="8" w:space="0" w:color="0D064D"/>
            </w:tcBorders>
            <w:shd w:fill="0D064D" w:val="clear"/>
            <w:vAlign w:val="center"/>
          </w:tcPr>
          <w:p>
            <w:pPr>
              <w:pStyle w:val="TableContents"/>
              <w:bidi w:val="0"/>
              <w:spacing w:before="0" w:after="160"/>
              <w:jc w:val="right"/>
              <w:rPr/>
            </w:pPr>
            <w:r>
              <w:rPr/>
              <w:drawing>
                <wp:inline distT="0" distB="0" distL="0" distR="0">
                  <wp:extent cx="6572250" cy="56197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8"/>
                          <a:stretch>
                            <a:fillRect/>
                          </a:stretch>
                        </pic:blipFill>
                        <pic:spPr bwMode="auto">
                          <a:xfrm>
                            <a:off x="0" y="0"/>
                            <a:ext cx="6572250" cy="561975"/>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240" w:after="240"/>
        <w:jc w:val="both"/>
        <w:rPr>
          <w:rFonts w:ascii="Arial;sans-serif" w:hAnsi="Arial;sans-serif"/>
          <w:b/>
          <w:color w:val="7F7F7F"/>
          <w:sz w:val="18"/>
          <w:u w:val="single"/>
        </w:rPr>
      </w:pPr>
      <w:r>
        <w:rPr>
          <w:rFonts w:ascii="Arial;sans-serif" w:hAnsi="Arial;sans-serif"/>
          <w:b/>
          <w:color w:val="7F7F7F"/>
          <w:sz w:val="18"/>
          <w:u w:val="single"/>
        </w:rPr>
        <w:t>ABOUT LATAM GROUP </w:t>
      </w:r>
    </w:p>
    <w:p>
      <w:pPr>
        <w:pStyle w:val="TextBody"/>
        <w:bidi w:val="0"/>
        <w:spacing w:lineRule="auto" w:line="240" w:before="100" w:after="100"/>
        <w:jc w:val="both"/>
        <w:rPr>
          <w:rFonts w:ascii="Arial;sans-serif" w:hAnsi="Arial;sans-serif"/>
          <w:b w:val="false"/>
          <w:color w:val="7F7F7F"/>
          <w:sz w:val="18"/>
        </w:rPr>
      </w:pPr>
      <w:r>
        <w:rPr>
          <w:rFonts w:ascii="Arial;sans-serif" w:hAnsi="Arial;sans-serif"/>
          <w:b w:val="false"/>
          <w:color w:val="7F7F7F"/>
          <w:sz w:val="18"/>
        </w:rPr>
        <w:t>LATAM Airlines Group S.A. and its affiliates are the principal group of airlines in Latin America present in five domestic markets in the region: Brazil, Chile, Colombia, Ecuador and Peru, in addition to international operations within Latin America and to / from Europe, the United States, Oceania, Africa and the Caribbean.</w:t>
      </w:r>
    </w:p>
    <w:p>
      <w:pPr>
        <w:pStyle w:val="TextBody"/>
        <w:bidi w:val="0"/>
        <w:spacing w:lineRule="auto" w:line="240" w:before="100" w:after="100"/>
        <w:jc w:val="both"/>
        <w:rPr>
          <w:rFonts w:ascii="Arial;sans-serif" w:hAnsi="Arial;sans-serif"/>
          <w:b w:val="false"/>
          <w:color w:val="7F7F7F"/>
          <w:sz w:val="18"/>
        </w:rPr>
      </w:pPr>
      <w:r>
        <w:rPr>
          <w:rFonts w:ascii="Arial;sans-serif" w:hAnsi="Arial;sans-serif"/>
          <w:b w:val="false"/>
          <w:color w:val="7F7F7F"/>
          <w:sz w:val="18"/>
        </w:rPr>
        <w:t>The group has a fleet of Boeing 767, 777, 787, Airbus A321, A321Neo, A320, A320Neo, and A319 aircraft. Additionally, the Airbus 330, operated under short-term leases, is also part of the current operations.</w:t>
      </w:r>
    </w:p>
    <w:p>
      <w:pPr>
        <w:pStyle w:val="TextBody"/>
        <w:bidi w:val="0"/>
        <w:spacing w:lineRule="auto" w:line="240" w:before="100" w:after="100"/>
        <w:jc w:val="both"/>
        <w:rPr>
          <w:rFonts w:ascii="Arial;sans-serif" w:hAnsi="Arial;sans-serif"/>
          <w:b w:val="false"/>
          <w:color w:val="7F7F7F"/>
          <w:sz w:val="18"/>
        </w:rPr>
      </w:pPr>
      <w:r>
        <w:rPr>
          <w:rFonts w:ascii="Arial;sans-serif" w:hAnsi="Arial;sans-serif"/>
          <w:b w:val="false"/>
          <w:color w:val="7F7F7F"/>
          <w:sz w:val="18"/>
        </w:rPr>
        <w:t xml:space="preserve">LATAM Cargo Chile, LATAM Cargo Colombia and LATAM Cargo Brazil are the LATAM group cargo subsidiaries. In addition to having access to the bellies of the passenger affiliate’s aircraft, they have a fleet of 20 freighters. They operate on the LATAM group network as well as international routes that are solely used for freighters. They offer modern infrastructure, a wide variety of services and protection options to meet all customer needs. </w:t>
      </w:r>
    </w:p>
    <w:p>
      <w:pPr>
        <w:pStyle w:val="TextBody"/>
        <w:bidi w:val="0"/>
        <w:spacing w:lineRule="auto" w:line="240" w:before="100" w:after="100"/>
        <w:jc w:val="both"/>
        <w:rPr/>
      </w:pPr>
      <w:r>
        <w:rPr>
          <w:rFonts w:ascii="Arial;sans-serif" w:hAnsi="Arial;sans-serif"/>
          <w:b w:val="false"/>
          <w:color w:val="7F7F7F"/>
          <w:sz w:val="18"/>
        </w:rPr>
        <w:t xml:space="preserve">More financial information at </w:t>
      </w:r>
      <w:r>
        <w:rPr>
          <w:rFonts w:ascii="Arial;sans-serif" w:hAnsi="Arial;sans-serif"/>
          <w:b w:val="false"/>
          <w:color w:val="7F7F7F"/>
          <w:sz w:val="18"/>
          <w:u w:val="single"/>
        </w:rPr>
        <w:t>ir.latam.com</w:t>
      </w:r>
    </w:p>
    <w:p>
      <w:pPr>
        <w:pStyle w:val="TextBody"/>
        <w:bidi w:val="0"/>
        <w:spacing w:lineRule="auto" w:line="288" w:before="240" w:after="240"/>
        <w:jc w:val="both"/>
        <w:rPr>
          <w:rFonts w:ascii="Arial;sans-serif" w:hAnsi="Arial;sans-serif"/>
          <w:b/>
          <w:color w:val="1155CC"/>
          <w:sz w:val="18"/>
          <w:u w:val="single"/>
        </w:rPr>
      </w:pPr>
      <w:r>
        <w:rPr>
          <w:rFonts w:ascii="Arial;sans-serif" w:hAnsi="Arial;sans-serif"/>
          <w:b/>
          <w:color w:val="1155CC"/>
          <w:sz w:val="18"/>
          <w:u w:val="single"/>
        </w:rPr>
        <w:t>www.latam.com</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45540"/>
                <wp:effectExtent l="0" t="0" r="0" b="0"/>
                <wp:wrapNone/>
                <wp:docPr id="13" name="Frame6"/>
                <a:graphic xmlns:a="http://schemas.openxmlformats.org/drawingml/2006/main">
                  <a:graphicData uri="http://schemas.microsoft.com/office/word/2010/wordprocessingShape">
                    <wps:wsp>
                      <wps:cNvSpPr txBox="1"/>
                      <wps:spPr>
                        <a:xfrm>
                          <a:off x="0" y="0"/>
                          <a:ext cx="6480175" cy="11455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drawing>
                                <wp:inline distT="0" distB="0" distL="0" distR="0">
                                  <wp:extent cx="6515100" cy="762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9"/>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6515100" cy="762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0"/>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908</Words>
  <Characters>5506</Characters>
  <CharactersWithSpaces>6440</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