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5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March 2026</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1-14728</w:t>
      </w:r>
    </w:p>
    <w:p>
      <w:pPr>
        <w:spacing w:after="0" w:line="18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9"/>
          <w:szCs w:val="29"/>
          <w:b w:val="1"/>
          <w:bCs w:val="1"/>
          <w:color w:val="auto"/>
        </w:rPr>
        <w:t>LATAM Airlines Group S.A.</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Presidente Riesco 5711, 20th floor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Las Condes</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Santiago, Chile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437515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462915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2"/>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LATAM AIRLINES GROUP S.A.</w:t>
            </w:r>
          </w:p>
        </w:tc>
      </w:tr>
      <w:tr>
        <w:trPr>
          <w:trHeight w:val="40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exhibit is attached:</w:t>
            </w:r>
          </w:p>
        </w:tc>
      </w:tr>
      <w:tr>
        <w:trPr>
          <w:trHeight w:val="432"/>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3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70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140" w:type="dxa"/>
            <w:vAlign w:val="bottom"/>
            <w:tcBorders>
              <w:top w:val="single" w:sz="8" w:color="auto"/>
              <w:bottom w:val="single" w:sz="8" w:color="0000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LATAM Airlines Group Operating Statistic</w:t>
            </w:r>
          </w:p>
        </w:tc>
        <w:tc>
          <w:tcPr>
            <w:tcW w:w="63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904"/>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78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99"/>
        </w:trPr>
        <w:tc>
          <w:tcPr>
            <w:tcW w:w="334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Ricardo Bottas</w:t>
            </w:r>
          </w:p>
        </w:tc>
      </w:tr>
      <w:tr>
        <w:trPr>
          <w:trHeight w:val="218"/>
        </w:trPr>
        <w:tc>
          <w:tcPr>
            <w:tcW w:w="3340" w:type="dxa"/>
            <w:vAlign w:val="bottom"/>
          </w:tcPr>
          <w:p>
            <w:pPr>
              <w:spacing w:after="0"/>
              <w:rPr>
                <w:sz w:val="18"/>
                <w:szCs w:val="18"/>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Ricardo Bottas</w:t>
            </w:r>
          </w:p>
        </w:tc>
      </w:tr>
      <w:tr>
        <w:trPr>
          <w:trHeight w:val="234"/>
        </w:trPr>
        <w:tc>
          <w:tcPr>
            <w:tcW w:w="3340" w:type="dxa"/>
            <w:vAlign w:val="bottom"/>
          </w:tcPr>
          <w:p>
            <w:pPr>
              <w:spacing w:after="0"/>
              <w:rPr>
                <w:sz w:val="20"/>
                <w:szCs w:val="20"/>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04"/>
        </w:trPr>
        <w:tc>
          <w:tcPr>
            <w:tcW w:w="3340" w:type="dxa"/>
            <w:vAlign w:val="bottom"/>
          </w:tcPr>
          <w:p>
            <w:pPr>
              <w:spacing w:after="0"/>
              <w:rPr>
                <w:sz w:val="24"/>
                <w:szCs w:val="24"/>
                <w:color w:val="auto"/>
              </w:rPr>
            </w:pPr>
          </w:p>
        </w:tc>
        <w:tc>
          <w:tcPr>
            <w:tcW w:w="26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98030"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668655"/>
                    </a:xfrm>
                    <a:prstGeom prst="rect">
                      <a:avLst/>
                    </a:prstGeom>
                    <a:noFill/>
                  </pic:spPr>
                </pic:pic>
              </a:graphicData>
            </a:graphic>
          </wp:anchor>
        </w:drawing>
      </w:r>
    </w:p>
    <w:p>
      <w:pPr>
        <w:jc w:val="center"/>
        <w:ind w:left="340" w:right="160"/>
        <w:spacing w:after="0" w:line="278" w:lineRule="auto"/>
        <w:rPr>
          <w:sz w:val="20"/>
          <w:szCs w:val="20"/>
          <w:color w:val="auto"/>
        </w:rPr>
      </w:pPr>
      <w:r>
        <w:rPr>
          <w:rFonts w:ascii="Arial" w:cs="Arial" w:eastAsia="Arial" w:hAnsi="Arial"/>
          <w:sz w:val="29"/>
          <w:szCs w:val="29"/>
          <w:b w:val="1"/>
          <w:bCs w:val="1"/>
          <w:color w:val="002060"/>
        </w:rPr>
        <w:t>LATAM group transported 7.1 million passengers in February, highlighting solid load factors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statistics for February 2026</w:t>
      </w: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Santiago, March 9, 2026 </w:t>
      </w:r>
      <w:r>
        <w:rPr>
          <w:rFonts w:ascii="Arial" w:cs="Arial" w:eastAsia="Arial" w:hAnsi="Arial"/>
          <w:sz w:val="18"/>
          <w:szCs w:val="18"/>
          <w:color w:val="auto"/>
        </w:rPr>
        <w:t>- During February, LATAM group transported 7.1 million passengers, representing a 9.3% increase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month of 2025. This growth was accompanied by a 2.2 percentage point increase year-over-year in consolidated load factor, reaching 85.6%.</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In line with the above, LATAM group increased its consolidated capacity, measured in available seat-kilometers (ASK), by 11.4% compared to February 2025. This growth was mainly driven by a 14.8% increase in international operations, together with a 12.5% increase in capacity in LATAM Airlines Brazil’s domestic market.</w:t>
      </w:r>
    </w:p>
    <w:p>
      <w:pPr>
        <w:spacing w:after="0" w:line="12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Consolidated traffic, measured in revenue passenger-kilometers (RPK), increased by 14.4% compared to February 2025, reflecting growth across all segments. International operations once again stood out, with an increase of 18.0%, followed by LATAM Airlines Brazil’s domestic market, which recorded a 15.6% year-over-year increase.</w:t>
      </w:r>
    </w:p>
    <w:p>
      <w:pPr>
        <w:spacing w:after="0" w:line="136"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Regarding cargo operations, capacity measured in available ton-kilometers (ATK) reached 686 million in February, 7.6% higher compared to the same month of the previous year. As a result, 82 thousand tons of cargo were transported during the month.</w:t>
      </w:r>
    </w:p>
    <w:p>
      <w:pPr>
        <w:spacing w:after="0" w:line="11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following table summarizes the main operating statistics for the month and year-to-date as of February for the main LATAM group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1446530</wp:posOffset>
            </wp:positionV>
            <wp:extent cx="586359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INVESTOR RELATIONS CONTACT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LATAM Airlines Group S.A.</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InvestorRelations@latam.com</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Tel: (56-2) 2565-3844</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ir.latam.com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98030" cy="668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668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43"/>
        </w:trPr>
        <w:tc>
          <w:tcPr>
            <w:tcW w:w="4520" w:type="dxa"/>
            <w:vAlign w:val="bottom"/>
            <w:tcBorders>
              <w:left w:val="single" w:sz="8" w:color="1B0074"/>
              <w:right w:val="single" w:sz="8" w:color="1B0074"/>
            </w:tcBorders>
            <w:vMerge w:val="restart"/>
            <w:shd w:val="clear" w:color="auto" w:fill="1B0074"/>
          </w:tcPr>
          <w:p>
            <w:pPr>
              <w:ind w:left="120"/>
              <w:spacing w:after="0"/>
              <w:rPr>
                <w:sz w:val="20"/>
                <w:szCs w:val="20"/>
                <w:color w:val="auto"/>
              </w:rPr>
            </w:pPr>
            <w:r>
              <w:rPr>
                <w:rFonts w:ascii="Arial" w:cs="Arial" w:eastAsia="Arial" w:hAnsi="Arial"/>
                <w:sz w:val="16"/>
                <w:szCs w:val="16"/>
                <w:b w:val="1"/>
                <w:bCs w:val="1"/>
                <w:color w:val="FFFFFF"/>
              </w:rPr>
              <w:t>LATAM GROUP OPERATIONS</w:t>
            </w:r>
          </w:p>
        </w:tc>
        <w:tc>
          <w:tcPr>
            <w:tcW w:w="1040" w:type="dxa"/>
            <w:vAlign w:val="bottom"/>
            <w:shd w:val="clear" w:color="auto" w:fill="1B0074"/>
          </w:tcPr>
          <w:p>
            <w:pPr>
              <w:spacing w:after="0"/>
              <w:rPr>
                <w:sz w:val="21"/>
                <w:szCs w:val="21"/>
                <w:color w:val="auto"/>
              </w:rPr>
            </w:pPr>
          </w:p>
        </w:tc>
        <w:tc>
          <w:tcPr>
            <w:tcW w:w="1140" w:type="dxa"/>
            <w:vAlign w:val="bottom"/>
            <w:shd w:val="clear" w:color="auto" w:fill="1B0074"/>
          </w:tcPr>
          <w:p>
            <w:pPr>
              <w:ind w:left="260"/>
              <w:spacing w:after="0"/>
              <w:rPr>
                <w:sz w:val="20"/>
                <w:szCs w:val="20"/>
                <w:color w:val="auto"/>
              </w:rPr>
            </w:pPr>
            <w:r>
              <w:rPr>
                <w:rFonts w:ascii="Arial" w:cs="Arial" w:eastAsia="Arial" w:hAnsi="Arial"/>
                <w:sz w:val="16"/>
                <w:szCs w:val="16"/>
                <w:b w:val="1"/>
                <w:bCs w:val="1"/>
                <w:color w:val="FFFFFF"/>
              </w:rPr>
              <w:t>February</w:t>
            </w:r>
          </w:p>
        </w:tc>
        <w:tc>
          <w:tcPr>
            <w:tcW w:w="116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ind w:left="200"/>
              <w:spacing w:after="0"/>
              <w:rPr>
                <w:sz w:val="20"/>
                <w:szCs w:val="20"/>
                <w:color w:val="auto"/>
              </w:rPr>
            </w:pPr>
            <w:r>
              <w:rPr>
                <w:rFonts w:ascii="Arial" w:cs="Arial" w:eastAsia="Arial" w:hAnsi="Arial"/>
                <w:sz w:val="16"/>
                <w:szCs w:val="16"/>
                <w:b w:val="1"/>
                <w:bCs w:val="1"/>
                <w:color w:val="FFFFFF"/>
              </w:rPr>
              <w:t>Year to Date</w:t>
            </w: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520" w:type="dxa"/>
            <w:vAlign w:val="bottom"/>
            <w:tcBorders>
              <w:left w:val="single" w:sz="8" w:color="1B0074"/>
              <w:right w:val="single" w:sz="8" w:color="1B0074"/>
            </w:tcBorders>
            <w:vMerge w:val="continue"/>
            <w:shd w:val="clear" w:color="auto" w:fill="1B0074"/>
          </w:tcPr>
          <w:p>
            <w:pPr>
              <w:spacing w:after="0"/>
              <w:rPr>
                <w:sz w:val="18"/>
                <w:szCs w:val="18"/>
                <w:color w:val="auto"/>
              </w:rPr>
            </w:pPr>
          </w:p>
        </w:tc>
        <w:tc>
          <w:tcPr>
            <w:tcW w:w="1040" w:type="dxa"/>
            <w:vAlign w:val="bottom"/>
            <w:vMerge w:val="restart"/>
            <w:shd w:val="clear" w:color="auto" w:fill="1B0074"/>
          </w:tcPr>
          <w:p>
            <w:pPr>
              <w:jc w:val="center"/>
              <w:spacing w:after="0"/>
              <w:rPr>
                <w:sz w:val="20"/>
                <w:szCs w:val="20"/>
                <w:color w:val="auto"/>
              </w:rPr>
            </w:pPr>
            <w:r>
              <w:rPr>
                <w:rFonts w:ascii="Arial" w:cs="Arial" w:eastAsia="Arial" w:hAnsi="Arial"/>
                <w:sz w:val="16"/>
                <w:szCs w:val="16"/>
                <w:b w:val="1"/>
                <w:bCs w:val="1"/>
                <w:color w:val="FFFFFF"/>
              </w:rPr>
              <w:t>2026</w:t>
            </w:r>
          </w:p>
        </w:tc>
        <w:tc>
          <w:tcPr>
            <w:tcW w:w="1140" w:type="dxa"/>
            <w:vAlign w:val="bottom"/>
            <w:vMerge w:val="restart"/>
            <w:shd w:val="clear" w:color="auto" w:fill="1B0074"/>
          </w:tcPr>
          <w:p>
            <w:pPr>
              <w:jc w:val="center"/>
              <w:spacing w:after="0"/>
              <w:rPr>
                <w:sz w:val="20"/>
                <w:szCs w:val="20"/>
                <w:color w:val="auto"/>
              </w:rPr>
            </w:pPr>
            <w:r>
              <w:rPr>
                <w:rFonts w:ascii="Arial" w:cs="Arial" w:eastAsia="Arial" w:hAnsi="Arial"/>
                <w:sz w:val="16"/>
                <w:szCs w:val="16"/>
                <w:b w:val="1"/>
                <w:bCs w:val="1"/>
                <w:color w:val="FFFFFF"/>
              </w:rPr>
              <w:t>2025</w:t>
            </w:r>
          </w:p>
        </w:tc>
        <w:tc>
          <w:tcPr>
            <w:tcW w:w="1160" w:type="dxa"/>
            <w:vAlign w:val="bottom"/>
            <w:tcBorders>
              <w:right w:val="single" w:sz="8" w:color="1B0074"/>
            </w:tcBorders>
            <w:vMerge w:val="restart"/>
            <w:shd w:val="clear" w:color="auto" w:fill="1B0074"/>
          </w:tcPr>
          <w:p>
            <w:pPr>
              <w:ind w:left="180"/>
              <w:spacing w:after="0"/>
              <w:rPr>
                <w:sz w:val="20"/>
                <w:szCs w:val="20"/>
                <w:color w:val="auto"/>
              </w:rPr>
            </w:pPr>
            <w:r>
              <w:rPr>
                <w:rFonts w:ascii="Arial" w:cs="Arial" w:eastAsia="Arial" w:hAnsi="Arial"/>
                <w:sz w:val="16"/>
                <w:szCs w:val="16"/>
                <w:b w:val="1"/>
                <w:bCs w:val="1"/>
                <w:color w:val="FFFFFF"/>
              </w:rPr>
              <w:t>% Change</w:t>
            </w:r>
          </w:p>
        </w:tc>
        <w:tc>
          <w:tcPr>
            <w:tcW w:w="1000" w:type="dxa"/>
            <w:vAlign w:val="bottom"/>
            <w:vMerge w:val="restart"/>
            <w:shd w:val="clear" w:color="auto" w:fill="1B0074"/>
          </w:tcPr>
          <w:p>
            <w:pPr>
              <w:jc w:val="center"/>
              <w:spacing w:after="0"/>
              <w:rPr>
                <w:sz w:val="20"/>
                <w:szCs w:val="20"/>
                <w:color w:val="auto"/>
              </w:rPr>
            </w:pPr>
            <w:r>
              <w:rPr>
                <w:rFonts w:ascii="Arial" w:cs="Arial" w:eastAsia="Arial" w:hAnsi="Arial"/>
                <w:sz w:val="16"/>
                <w:szCs w:val="16"/>
                <w:b w:val="1"/>
                <w:bCs w:val="1"/>
                <w:color w:val="FFFFFF"/>
              </w:rPr>
              <w:t>2026</w:t>
            </w:r>
          </w:p>
        </w:tc>
        <w:tc>
          <w:tcPr>
            <w:tcW w:w="1260" w:type="dxa"/>
            <w:vAlign w:val="bottom"/>
            <w:vMerge w:val="restart"/>
            <w:shd w:val="clear" w:color="auto" w:fill="1B0074"/>
          </w:tcPr>
          <w:p>
            <w:pPr>
              <w:jc w:val="center"/>
              <w:spacing w:after="0"/>
              <w:rPr>
                <w:sz w:val="20"/>
                <w:szCs w:val="20"/>
                <w:color w:val="auto"/>
              </w:rPr>
            </w:pPr>
            <w:r>
              <w:rPr>
                <w:rFonts w:ascii="Arial" w:cs="Arial" w:eastAsia="Arial" w:hAnsi="Arial"/>
                <w:sz w:val="16"/>
                <w:szCs w:val="16"/>
                <w:b w:val="1"/>
                <w:bCs w:val="1"/>
                <w:color w:val="FFFFFF"/>
              </w:rPr>
              <w:t>2025</w:t>
            </w:r>
          </w:p>
        </w:tc>
        <w:tc>
          <w:tcPr>
            <w:tcW w:w="1120" w:type="dxa"/>
            <w:vAlign w:val="bottom"/>
            <w:tcBorders>
              <w:right w:val="single" w:sz="8" w:color="1B0074"/>
            </w:tcBorders>
            <w:vMerge w:val="restart"/>
            <w:shd w:val="clear" w:color="auto" w:fill="1B0074"/>
          </w:tcPr>
          <w:p>
            <w:pPr>
              <w:ind w:left="140"/>
              <w:spacing w:after="0"/>
              <w:rPr>
                <w:sz w:val="20"/>
                <w:szCs w:val="20"/>
                <w:color w:val="auto"/>
              </w:rPr>
            </w:pPr>
            <w:r>
              <w:rPr>
                <w:rFonts w:ascii="Arial" w:cs="Arial" w:eastAsia="Arial" w:hAnsi="Arial"/>
                <w:sz w:val="16"/>
                <w:szCs w:val="16"/>
                <w:b w:val="1"/>
                <w:bCs w:val="1"/>
                <w:color w:val="FFFFFF"/>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tcBorders>
              <w:left w:val="single" w:sz="8" w:color="1B0074"/>
              <w:right w:val="single" w:sz="8" w:color="1B0074"/>
            </w:tcBorders>
            <w:shd w:val="clear" w:color="auto" w:fill="1B0074"/>
          </w:tcPr>
          <w:p>
            <w:pPr>
              <w:spacing w:after="0"/>
              <w:rPr>
                <w:sz w:val="17"/>
                <w:szCs w:val="17"/>
                <w:color w:val="auto"/>
              </w:rPr>
            </w:pPr>
          </w:p>
        </w:tc>
        <w:tc>
          <w:tcPr>
            <w:tcW w:w="1040" w:type="dxa"/>
            <w:vAlign w:val="bottom"/>
            <w:vMerge w:val="continue"/>
            <w:shd w:val="clear" w:color="auto" w:fill="1B0074"/>
          </w:tcPr>
          <w:p>
            <w:pPr>
              <w:spacing w:after="0"/>
              <w:rPr>
                <w:sz w:val="17"/>
                <w:szCs w:val="17"/>
                <w:color w:val="auto"/>
              </w:rPr>
            </w:pPr>
          </w:p>
        </w:tc>
        <w:tc>
          <w:tcPr>
            <w:tcW w:w="1140" w:type="dxa"/>
            <w:vAlign w:val="bottom"/>
            <w:vMerge w:val="continue"/>
            <w:shd w:val="clear" w:color="auto" w:fill="1B0074"/>
          </w:tcPr>
          <w:p>
            <w:pPr>
              <w:spacing w:after="0"/>
              <w:rPr>
                <w:sz w:val="17"/>
                <w:szCs w:val="17"/>
                <w:color w:val="auto"/>
              </w:rPr>
            </w:pPr>
          </w:p>
        </w:tc>
        <w:tc>
          <w:tcPr>
            <w:tcW w:w="1160" w:type="dxa"/>
            <w:vAlign w:val="bottom"/>
            <w:tcBorders>
              <w:right w:val="single" w:sz="8" w:color="1B0074"/>
            </w:tcBorders>
            <w:vMerge w:val="continue"/>
            <w:shd w:val="clear" w:color="auto" w:fill="1B0074"/>
          </w:tcPr>
          <w:p>
            <w:pPr>
              <w:spacing w:after="0"/>
              <w:rPr>
                <w:sz w:val="17"/>
                <w:szCs w:val="17"/>
                <w:color w:val="auto"/>
              </w:rPr>
            </w:pPr>
          </w:p>
        </w:tc>
        <w:tc>
          <w:tcPr>
            <w:tcW w:w="1000" w:type="dxa"/>
            <w:vAlign w:val="bottom"/>
            <w:vMerge w:val="continue"/>
            <w:shd w:val="clear" w:color="auto" w:fill="1B0074"/>
          </w:tcPr>
          <w:p>
            <w:pPr>
              <w:spacing w:after="0"/>
              <w:rPr>
                <w:sz w:val="17"/>
                <w:szCs w:val="17"/>
                <w:color w:val="auto"/>
              </w:rPr>
            </w:pPr>
          </w:p>
        </w:tc>
        <w:tc>
          <w:tcPr>
            <w:tcW w:w="1260" w:type="dxa"/>
            <w:vAlign w:val="bottom"/>
            <w:vMerge w:val="continue"/>
            <w:shd w:val="clear" w:color="auto" w:fill="1B0074"/>
          </w:tcPr>
          <w:p>
            <w:pPr>
              <w:spacing w:after="0"/>
              <w:rPr>
                <w:sz w:val="17"/>
                <w:szCs w:val="17"/>
                <w:color w:val="auto"/>
              </w:rPr>
            </w:pPr>
          </w:p>
        </w:tc>
        <w:tc>
          <w:tcPr>
            <w:tcW w:w="1120" w:type="dxa"/>
            <w:vAlign w:val="bottom"/>
            <w:tcBorders>
              <w:right w:val="single" w:sz="8" w:color="1B0074"/>
            </w:tcBorders>
            <w:vMerge w:val="continue"/>
            <w:shd w:val="clear" w:color="auto" w:fill="1B007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520" w:type="dxa"/>
            <w:vAlign w:val="bottom"/>
            <w:tcBorders>
              <w:left w:val="single" w:sz="8" w:color="1B0074"/>
              <w:right w:val="single" w:sz="8" w:color="1B0074"/>
            </w:tcBorders>
            <w:shd w:val="clear" w:color="auto" w:fill="1B0074"/>
          </w:tcPr>
          <w:p>
            <w:pPr>
              <w:spacing w:after="0"/>
              <w:rPr>
                <w:sz w:val="15"/>
                <w:szCs w:val="15"/>
                <w:color w:val="auto"/>
              </w:rPr>
            </w:pPr>
          </w:p>
        </w:tc>
        <w:tc>
          <w:tcPr>
            <w:tcW w:w="1040" w:type="dxa"/>
            <w:vAlign w:val="bottom"/>
            <w:shd w:val="clear" w:color="auto" w:fill="1B0074"/>
          </w:tcPr>
          <w:p>
            <w:pPr>
              <w:spacing w:after="0"/>
              <w:rPr>
                <w:sz w:val="15"/>
                <w:szCs w:val="15"/>
                <w:color w:val="auto"/>
              </w:rPr>
            </w:pPr>
          </w:p>
        </w:tc>
        <w:tc>
          <w:tcPr>
            <w:tcW w:w="1140" w:type="dxa"/>
            <w:vAlign w:val="bottom"/>
            <w:shd w:val="clear" w:color="auto" w:fill="1B0074"/>
          </w:tcPr>
          <w:p>
            <w:pPr>
              <w:spacing w:after="0"/>
              <w:rPr>
                <w:sz w:val="15"/>
                <w:szCs w:val="15"/>
                <w:color w:val="auto"/>
              </w:rPr>
            </w:pPr>
          </w:p>
        </w:tc>
        <w:tc>
          <w:tcPr>
            <w:tcW w:w="1160" w:type="dxa"/>
            <w:vAlign w:val="bottom"/>
            <w:tcBorders>
              <w:right w:val="single" w:sz="8" w:color="1B0074"/>
            </w:tcBorders>
            <w:shd w:val="clear" w:color="auto" w:fill="1B0074"/>
          </w:tcPr>
          <w:p>
            <w:pPr>
              <w:spacing w:after="0"/>
              <w:rPr>
                <w:sz w:val="15"/>
                <w:szCs w:val="15"/>
                <w:color w:val="auto"/>
              </w:rPr>
            </w:pPr>
          </w:p>
        </w:tc>
        <w:tc>
          <w:tcPr>
            <w:tcW w:w="1000" w:type="dxa"/>
            <w:vAlign w:val="bottom"/>
            <w:shd w:val="clear" w:color="auto" w:fill="1B0074"/>
          </w:tcPr>
          <w:p>
            <w:pPr>
              <w:spacing w:after="0"/>
              <w:rPr>
                <w:sz w:val="15"/>
                <w:szCs w:val="15"/>
                <w:color w:val="auto"/>
              </w:rPr>
            </w:pPr>
          </w:p>
        </w:tc>
        <w:tc>
          <w:tcPr>
            <w:tcW w:w="1260" w:type="dxa"/>
            <w:vAlign w:val="bottom"/>
            <w:shd w:val="clear" w:color="auto" w:fill="1B0074"/>
          </w:tcPr>
          <w:p>
            <w:pPr>
              <w:spacing w:after="0"/>
              <w:rPr>
                <w:sz w:val="15"/>
                <w:szCs w:val="15"/>
                <w:color w:val="auto"/>
              </w:rPr>
            </w:pPr>
          </w:p>
        </w:tc>
        <w:tc>
          <w:tcPr>
            <w:tcW w:w="1120" w:type="dxa"/>
            <w:vAlign w:val="bottom"/>
            <w:tcBorders>
              <w:right w:val="single" w:sz="8" w:color="1B0074"/>
            </w:tcBorders>
            <w:shd w:val="clear" w:color="auto" w:fill="1B007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520" w:type="dxa"/>
            <w:vAlign w:val="bottom"/>
          </w:tcPr>
          <w:p>
            <w:pPr>
              <w:ind w:left="120"/>
              <w:spacing w:after="0"/>
              <w:rPr>
                <w:sz w:val="20"/>
                <w:szCs w:val="20"/>
                <w:color w:val="auto"/>
              </w:rPr>
            </w:pPr>
            <w:r>
              <w:rPr>
                <w:rFonts w:ascii="Arial" w:cs="Arial" w:eastAsia="Arial" w:hAnsi="Arial"/>
                <w:sz w:val="16"/>
                <w:szCs w:val="16"/>
                <w:b w:val="1"/>
                <w:bCs w:val="1"/>
                <w:color w:val="auto"/>
              </w:rPr>
              <w:t>LATAM GROUP PASSENGER OPERATIONS</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auto"/>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REVENUE PASSENGER KILOMETERS (million)</w:t>
            </w:r>
          </w:p>
        </w:tc>
        <w:tc>
          <w:tcPr>
            <w:tcW w:w="1040" w:type="dxa"/>
            <w:vAlign w:val="bottom"/>
            <w:shd w:val="clear" w:color="auto" w:fill="1B0074"/>
          </w:tcPr>
          <w:p>
            <w:pPr>
              <w:spacing w:after="0"/>
              <w:rPr>
                <w:sz w:val="19"/>
                <w:szCs w:val="19"/>
                <w:color w:val="auto"/>
              </w:rPr>
            </w:pPr>
          </w:p>
        </w:tc>
        <w:tc>
          <w:tcPr>
            <w:tcW w:w="1140" w:type="dxa"/>
            <w:vAlign w:val="bottom"/>
            <w:shd w:val="clear" w:color="auto" w:fill="1B0074"/>
          </w:tcPr>
          <w:p>
            <w:pPr>
              <w:spacing w:after="0"/>
              <w:rPr>
                <w:sz w:val="19"/>
                <w:szCs w:val="19"/>
                <w:color w:val="auto"/>
              </w:rPr>
            </w:pPr>
          </w:p>
        </w:tc>
        <w:tc>
          <w:tcPr>
            <w:tcW w:w="1160" w:type="dxa"/>
            <w:vAlign w:val="bottom"/>
            <w:tcBorders>
              <w:right w:val="single" w:sz="8" w:color="1B0074"/>
            </w:tcBorders>
            <w:shd w:val="clear" w:color="auto" w:fill="1B0074"/>
          </w:tcPr>
          <w:p>
            <w:pPr>
              <w:spacing w:after="0"/>
              <w:rPr>
                <w:sz w:val="19"/>
                <w:szCs w:val="19"/>
                <w:color w:val="auto"/>
              </w:rPr>
            </w:pPr>
          </w:p>
        </w:tc>
        <w:tc>
          <w:tcPr>
            <w:tcW w:w="1000" w:type="dxa"/>
            <w:vAlign w:val="bottom"/>
            <w:shd w:val="clear" w:color="auto" w:fill="1B0074"/>
          </w:tcPr>
          <w:p>
            <w:pPr>
              <w:spacing w:after="0"/>
              <w:rPr>
                <w:sz w:val="19"/>
                <w:szCs w:val="19"/>
                <w:color w:val="auto"/>
              </w:rPr>
            </w:pPr>
          </w:p>
        </w:tc>
        <w:tc>
          <w:tcPr>
            <w:tcW w:w="1260" w:type="dxa"/>
            <w:vAlign w:val="bottom"/>
            <w:shd w:val="clear" w:color="auto" w:fill="1B0074"/>
          </w:tcPr>
          <w:p>
            <w:pPr>
              <w:spacing w:after="0"/>
              <w:rPr>
                <w:sz w:val="19"/>
                <w:szCs w:val="19"/>
                <w:color w:val="auto"/>
              </w:rPr>
            </w:pPr>
          </w:p>
        </w:tc>
        <w:tc>
          <w:tcPr>
            <w:tcW w:w="1120" w:type="dxa"/>
            <w:vAlign w:val="bottom"/>
            <w:tcBorders>
              <w:right w:val="single" w:sz="8" w:color="1B0074"/>
            </w:tcBorders>
            <w:shd w:val="clear" w:color="auto" w:fill="1B0074"/>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auto"/>
              <w:right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140" w:type="dxa"/>
            <w:vAlign w:val="bottom"/>
            <w:tcBorders>
              <w:bottom w:val="single" w:sz="8" w:color="1B0074"/>
            </w:tcBorders>
            <w:shd w:val="clear" w:color="auto" w:fill="1B0074"/>
          </w:tcPr>
          <w:p>
            <w:pPr>
              <w:spacing w:after="0"/>
              <w:rPr>
                <w:sz w:val="14"/>
                <w:szCs w:val="14"/>
                <w:color w:val="auto"/>
              </w:rPr>
            </w:pPr>
          </w:p>
        </w:tc>
        <w:tc>
          <w:tcPr>
            <w:tcW w:w="116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shd w:val="clear" w:color="auto" w:fill="1B0074"/>
          </w:tcPr>
          <w:p>
            <w:pPr>
              <w:spacing w:after="0"/>
              <w:rPr>
                <w:sz w:val="14"/>
                <w:szCs w:val="14"/>
                <w:color w:val="auto"/>
              </w:rPr>
            </w:pPr>
          </w:p>
        </w:tc>
        <w:tc>
          <w:tcPr>
            <w:tcW w:w="1260" w:type="dxa"/>
            <w:vAlign w:val="bottom"/>
            <w:shd w:val="clear" w:color="auto" w:fill="1B0074"/>
          </w:tcPr>
          <w:p>
            <w:pPr>
              <w:spacing w:after="0"/>
              <w:rPr>
                <w:sz w:val="14"/>
                <w:szCs w:val="14"/>
                <w:color w:val="auto"/>
              </w:rPr>
            </w:pPr>
          </w:p>
        </w:tc>
        <w:tc>
          <w:tcPr>
            <w:tcW w:w="1120" w:type="dxa"/>
            <w:vAlign w:val="bottom"/>
            <w:tcBorders>
              <w:right w:val="single" w:sz="8" w:color="1B0074"/>
            </w:tcBorders>
            <w:shd w:val="clear" w:color="auto" w:fill="1B0074"/>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auto"/>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12,195</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10,664</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rPr>
              <w:t>14.4%</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26,088</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22,923</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13.8%</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4520" w:type="dxa"/>
            <w:vAlign w:val="bottom"/>
            <w:tcBorders>
              <w:left w:val="single" w:sz="8" w:color="auto"/>
              <w:right w:val="single" w:sz="8" w:color="1B0074"/>
            </w:tcBorders>
          </w:tcPr>
          <w:p>
            <w:pPr>
              <w:ind w:left="140"/>
              <w:spacing w:after="0"/>
              <w:rPr>
                <w:sz w:val="20"/>
                <w:szCs w:val="20"/>
                <w:color w:val="auto"/>
              </w:rPr>
            </w:pPr>
            <w:r>
              <w:rPr>
                <w:rFonts w:ascii="Arial" w:cs="Arial" w:eastAsia="Arial" w:hAnsi="Arial"/>
                <w:sz w:val="16"/>
                <w:szCs w:val="16"/>
                <w:color w:val="auto"/>
              </w:rPr>
              <w:t>DOMESTIC SSC (1)</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1,998</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1,960</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1.9%</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4,214</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4,099</w:t>
            </w:r>
          </w:p>
        </w:tc>
        <w:tc>
          <w:tcPr>
            <w:tcW w:w="1120" w:type="dxa"/>
            <w:vAlign w:val="bottom"/>
          </w:tcPr>
          <w:p>
            <w:pPr>
              <w:jc w:val="center"/>
              <w:spacing w:after="0"/>
              <w:rPr>
                <w:sz w:val="20"/>
                <w:szCs w:val="20"/>
                <w:color w:val="auto"/>
              </w:rPr>
            </w:pPr>
            <w:r>
              <w:rPr>
                <w:rFonts w:ascii="Arial" w:cs="Arial" w:eastAsia="Arial" w:hAnsi="Arial"/>
                <w:sz w:val="16"/>
                <w:szCs w:val="16"/>
                <w:color w:val="auto"/>
              </w:rPr>
              <w:t>2.8%</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auto"/>
              <w:right w:val="single" w:sz="8" w:color="1B0074"/>
            </w:tcBorders>
          </w:tcPr>
          <w:p>
            <w:pPr>
              <w:ind w:left="140"/>
              <w:spacing w:after="0"/>
              <w:rPr>
                <w:sz w:val="20"/>
                <w:szCs w:val="20"/>
                <w:color w:val="auto"/>
              </w:rPr>
            </w:pPr>
            <w:r>
              <w:rPr>
                <w:rFonts w:ascii="Arial" w:cs="Arial" w:eastAsia="Arial" w:hAnsi="Arial"/>
                <w:sz w:val="16"/>
                <w:szCs w:val="16"/>
                <w:color w:val="auto"/>
              </w:rPr>
              <w:t>DOMESTIC BRAZIL (2)</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3,491</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3,020</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rPr>
              <w:t>15.6%</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7,674</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6,759</w:t>
            </w:r>
          </w:p>
        </w:tc>
        <w:tc>
          <w:tcPr>
            <w:tcW w:w="1120" w:type="dxa"/>
            <w:vAlign w:val="bottom"/>
          </w:tcPr>
          <w:p>
            <w:pPr>
              <w:jc w:val="center"/>
              <w:spacing w:after="0"/>
              <w:rPr>
                <w:sz w:val="20"/>
                <w:szCs w:val="20"/>
                <w:color w:val="auto"/>
              </w:rPr>
            </w:pPr>
            <w:r>
              <w:rPr>
                <w:rFonts w:ascii="Arial" w:cs="Arial" w:eastAsia="Arial" w:hAnsi="Arial"/>
                <w:sz w:val="16"/>
                <w:szCs w:val="16"/>
                <w:color w:val="auto"/>
              </w:rPr>
              <w:t>13.5%</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auto"/>
              <w:right w:val="single" w:sz="8" w:color="1B0074"/>
            </w:tcBorders>
          </w:tcPr>
          <w:p>
            <w:pPr>
              <w:ind w:left="140"/>
              <w:spacing w:after="0"/>
              <w:rPr>
                <w:sz w:val="20"/>
                <w:szCs w:val="20"/>
                <w:color w:val="auto"/>
              </w:rPr>
            </w:pPr>
            <w:r>
              <w:rPr>
                <w:rFonts w:ascii="Arial" w:cs="Arial" w:eastAsia="Arial" w:hAnsi="Arial"/>
                <w:sz w:val="16"/>
                <w:szCs w:val="16"/>
                <w:color w:val="auto"/>
              </w:rPr>
              <w:t>INTERNATIONAL (3)</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6,706</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5,684</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rPr>
              <w:t>18.0%</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14,200</w:t>
            </w: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12,065</w:t>
            </w:r>
          </w:p>
        </w:tc>
        <w:tc>
          <w:tcPr>
            <w:tcW w:w="1120" w:type="dxa"/>
            <w:vAlign w:val="bottom"/>
          </w:tcPr>
          <w:p>
            <w:pPr>
              <w:jc w:val="center"/>
              <w:spacing w:after="0"/>
              <w:rPr>
                <w:sz w:val="20"/>
                <w:szCs w:val="20"/>
                <w:color w:val="auto"/>
              </w:rPr>
            </w:pPr>
            <w:r>
              <w:rPr>
                <w:rFonts w:ascii="Arial" w:cs="Arial" w:eastAsia="Arial" w:hAnsi="Arial"/>
                <w:sz w:val="16"/>
                <w:szCs w:val="16"/>
                <w:color w:val="auto"/>
              </w:rPr>
              <w:t>17.7%</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520" w:type="dxa"/>
            <w:vAlign w:val="bottom"/>
            <w:tcBorders>
              <w:left w:val="single" w:sz="8" w:color="auto"/>
              <w:bottom w:val="single" w:sz="8" w:color="auto"/>
              <w:right w:val="single" w:sz="8" w:color="1B0074"/>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1B0074"/>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AVAILABLE SEAT KILOMETERS (million)</w:t>
            </w:r>
          </w:p>
        </w:tc>
        <w:tc>
          <w:tcPr>
            <w:tcW w:w="1040" w:type="dxa"/>
            <w:vAlign w:val="bottom"/>
            <w:shd w:val="clear" w:color="auto" w:fill="1B0074"/>
          </w:tcPr>
          <w:p>
            <w:pPr>
              <w:spacing w:after="0"/>
              <w:rPr>
                <w:sz w:val="21"/>
                <w:szCs w:val="21"/>
                <w:color w:val="auto"/>
              </w:rPr>
            </w:pPr>
          </w:p>
        </w:tc>
        <w:tc>
          <w:tcPr>
            <w:tcW w:w="1140" w:type="dxa"/>
            <w:vAlign w:val="bottom"/>
            <w:shd w:val="clear" w:color="auto" w:fill="1B0074"/>
          </w:tcPr>
          <w:p>
            <w:pPr>
              <w:spacing w:after="0"/>
              <w:rPr>
                <w:sz w:val="21"/>
                <w:szCs w:val="21"/>
                <w:color w:val="auto"/>
              </w:rPr>
            </w:pPr>
          </w:p>
        </w:tc>
        <w:tc>
          <w:tcPr>
            <w:tcW w:w="116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140" w:type="dxa"/>
            <w:vAlign w:val="bottom"/>
            <w:tcBorders>
              <w:bottom w:val="single" w:sz="8" w:color="1B0074"/>
            </w:tcBorders>
            <w:shd w:val="clear" w:color="auto" w:fill="1B0074"/>
          </w:tcPr>
          <w:p>
            <w:pPr>
              <w:spacing w:after="0"/>
              <w:rPr>
                <w:sz w:val="14"/>
                <w:szCs w:val="14"/>
                <w:color w:val="auto"/>
              </w:rPr>
            </w:pPr>
          </w:p>
        </w:tc>
        <w:tc>
          <w:tcPr>
            <w:tcW w:w="116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shd w:val="clear" w:color="auto" w:fill="1B0074"/>
          </w:tcPr>
          <w:p>
            <w:pPr>
              <w:spacing w:after="0"/>
              <w:rPr>
                <w:sz w:val="14"/>
                <w:szCs w:val="14"/>
                <w:color w:val="auto"/>
              </w:rPr>
            </w:pPr>
          </w:p>
        </w:tc>
        <w:tc>
          <w:tcPr>
            <w:tcW w:w="1260" w:type="dxa"/>
            <w:vAlign w:val="bottom"/>
            <w:shd w:val="clear" w:color="auto" w:fill="1B0074"/>
          </w:tcPr>
          <w:p>
            <w:pPr>
              <w:spacing w:after="0"/>
              <w:rPr>
                <w:sz w:val="14"/>
                <w:szCs w:val="14"/>
                <w:color w:val="auto"/>
              </w:rPr>
            </w:pPr>
          </w:p>
        </w:tc>
        <w:tc>
          <w:tcPr>
            <w:tcW w:w="1120" w:type="dxa"/>
            <w:vAlign w:val="bottom"/>
            <w:tcBorders>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14,252</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12,797</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6"/>
              </w:rPr>
              <w:t>11.4%</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30,324</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27,268</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11.2%</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right w:val="single" w:sz="8" w:color="1B0074"/>
            </w:tcBorders>
            <w:vMerge w:val="restart"/>
          </w:tcPr>
          <w:p>
            <w:pPr>
              <w:ind w:left="140"/>
              <w:spacing w:after="0"/>
              <w:rPr>
                <w:sz w:val="20"/>
                <w:szCs w:val="20"/>
                <w:color w:val="auto"/>
              </w:rPr>
            </w:pPr>
            <w:r>
              <w:rPr>
                <w:rFonts w:ascii="Arial" w:cs="Arial" w:eastAsia="Arial" w:hAnsi="Arial"/>
                <w:sz w:val="16"/>
                <w:szCs w:val="16"/>
                <w:color w:val="auto"/>
              </w:rPr>
              <w:t>DOMESTIC SSC (1)</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2,296</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9"/>
              </w:rPr>
              <w:t>2,308</w:t>
            </w:r>
          </w:p>
        </w:tc>
        <w:tc>
          <w:tcPr>
            <w:tcW w:w="1160" w:type="dxa"/>
            <w:vAlign w:val="bottom"/>
            <w:tcBorders>
              <w:right w:val="single" w:sz="8" w:color="1B0074"/>
            </w:tcBorders>
            <w:vMerge w:val="restart"/>
          </w:tcPr>
          <w:p>
            <w:pPr>
              <w:jc w:val="center"/>
              <w:spacing w:after="0"/>
              <w:rPr>
                <w:sz w:val="20"/>
                <w:szCs w:val="20"/>
                <w:color w:val="auto"/>
              </w:rPr>
            </w:pPr>
            <w:r>
              <w:rPr>
                <w:rFonts w:ascii="Arial" w:cs="Arial" w:eastAsia="Arial" w:hAnsi="Arial"/>
                <w:sz w:val="16"/>
                <w:szCs w:val="16"/>
                <w:color w:val="auto"/>
              </w:rPr>
              <w:t>-0.5%</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99"/>
              </w:rPr>
              <w:t>4,817</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9"/>
              </w:rPr>
              <w:t>4,850</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-0.7%</w:t>
            </w:r>
          </w:p>
        </w:tc>
        <w:tc>
          <w:tcPr>
            <w:tcW w:w="20" w:type="dxa"/>
            <w:vAlign w:val="bottom"/>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520" w:type="dxa"/>
            <w:vAlign w:val="bottom"/>
            <w:tcBorders>
              <w:left w:val="single" w:sz="8" w:color="1B0088"/>
              <w:right w:val="single" w:sz="8" w:color="1B0074"/>
            </w:tcBorders>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160" w:type="dxa"/>
            <w:vAlign w:val="bottom"/>
            <w:tcBorders>
              <w:right w:val="single" w:sz="8" w:color="1B0074"/>
            </w:tcBorders>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shd w:val="clear" w:color="auto" w:fill="1B0074"/>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520" w:type="dxa"/>
            <w:vAlign w:val="bottom"/>
            <w:tcBorders>
              <w:left w:val="single" w:sz="8" w:color="1B0088"/>
              <w:right w:val="single" w:sz="8" w:color="1B0074"/>
            </w:tcBorders>
            <w:vMerge w:val="restart"/>
          </w:tcPr>
          <w:p>
            <w:pPr>
              <w:ind w:left="140"/>
              <w:spacing w:after="0"/>
              <w:rPr>
                <w:sz w:val="20"/>
                <w:szCs w:val="20"/>
                <w:color w:val="auto"/>
              </w:rPr>
            </w:pPr>
            <w:r>
              <w:rPr>
                <w:rFonts w:ascii="Arial" w:cs="Arial" w:eastAsia="Arial" w:hAnsi="Arial"/>
                <w:sz w:val="16"/>
                <w:szCs w:val="16"/>
                <w:color w:val="auto"/>
              </w:rPr>
              <w:t>DOMESTIC BRAZIL (2)</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4,260</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9"/>
              </w:rPr>
              <w:t>3,786</w:t>
            </w:r>
          </w:p>
        </w:tc>
        <w:tc>
          <w:tcPr>
            <w:tcW w:w="1160" w:type="dxa"/>
            <w:vAlign w:val="bottom"/>
            <w:tcBorders>
              <w:right w:val="single" w:sz="8" w:color="1B0074"/>
            </w:tcBorders>
            <w:vMerge w:val="restart"/>
          </w:tcPr>
          <w:p>
            <w:pPr>
              <w:jc w:val="center"/>
              <w:spacing w:after="0"/>
              <w:rPr>
                <w:sz w:val="20"/>
                <w:szCs w:val="20"/>
                <w:color w:val="auto"/>
              </w:rPr>
            </w:pPr>
            <w:r>
              <w:rPr>
                <w:rFonts w:ascii="Arial" w:cs="Arial" w:eastAsia="Arial" w:hAnsi="Arial"/>
                <w:sz w:val="16"/>
                <w:szCs w:val="16"/>
                <w:color w:val="auto"/>
              </w:rPr>
              <w:t>12.5%</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99"/>
              </w:rPr>
              <w:t>9,255</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9"/>
              </w:rPr>
              <w:t>8,297</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6"/>
              </w:rPr>
              <w:t>11.6%</w:t>
            </w:r>
          </w:p>
        </w:tc>
        <w:tc>
          <w:tcPr>
            <w:tcW w:w="20" w:type="dxa"/>
            <w:vAlign w:val="bottom"/>
            <w:shd w:val="clear" w:color="auto" w:fill="1B0074"/>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20" w:type="dxa"/>
            <w:vAlign w:val="bottom"/>
            <w:tcBorders>
              <w:left w:val="single" w:sz="8" w:color="1B0088"/>
              <w:right w:val="single" w:sz="8" w:color="1B0074"/>
            </w:tcBorders>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160" w:type="dxa"/>
            <w:vAlign w:val="bottom"/>
            <w:tcBorders>
              <w:right w:val="single" w:sz="8" w:color="1B0074"/>
            </w:tcBorders>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INTERNATIONAL (3)</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7,696</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6,703</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rPr>
              <w:t>14.8%</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16,252</w:t>
            </w: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14,121</w:t>
            </w:r>
          </w:p>
        </w:tc>
        <w:tc>
          <w:tcPr>
            <w:tcW w:w="1120" w:type="dxa"/>
            <w:vAlign w:val="bottom"/>
          </w:tcPr>
          <w:p>
            <w:pPr>
              <w:jc w:val="center"/>
              <w:spacing w:after="0"/>
              <w:rPr>
                <w:sz w:val="20"/>
                <w:szCs w:val="20"/>
                <w:color w:val="auto"/>
              </w:rPr>
            </w:pPr>
            <w:r>
              <w:rPr>
                <w:rFonts w:ascii="Arial" w:cs="Arial" w:eastAsia="Arial" w:hAnsi="Arial"/>
                <w:sz w:val="16"/>
                <w:szCs w:val="16"/>
                <w:color w:val="auto"/>
              </w:rPr>
              <w:t>15.1%</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520" w:type="dxa"/>
            <w:vAlign w:val="bottom"/>
            <w:tcBorders>
              <w:left w:val="single" w:sz="8" w:color="1B0088"/>
              <w:bottom w:val="single" w:sz="8" w:color="1B0088"/>
              <w:right w:val="single" w:sz="8" w:color="1B0074"/>
            </w:tcBorders>
          </w:tcPr>
          <w:p>
            <w:pPr>
              <w:spacing w:after="0"/>
              <w:rPr>
                <w:sz w:val="15"/>
                <w:szCs w:val="15"/>
                <w:color w:val="auto"/>
              </w:rPr>
            </w:pPr>
          </w:p>
        </w:tc>
        <w:tc>
          <w:tcPr>
            <w:tcW w:w="1040" w:type="dxa"/>
            <w:vAlign w:val="bottom"/>
            <w:tcBorders>
              <w:bottom w:val="single" w:sz="8" w:color="1B0088"/>
            </w:tcBorders>
          </w:tcPr>
          <w:p>
            <w:pPr>
              <w:spacing w:after="0"/>
              <w:rPr>
                <w:sz w:val="15"/>
                <w:szCs w:val="15"/>
                <w:color w:val="auto"/>
              </w:rPr>
            </w:pPr>
          </w:p>
        </w:tc>
        <w:tc>
          <w:tcPr>
            <w:tcW w:w="1140" w:type="dxa"/>
            <w:vAlign w:val="bottom"/>
            <w:tcBorders>
              <w:bottom w:val="single" w:sz="8" w:color="1B0088"/>
            </w:tcBorders>
          </w:tcPr>
          <w:p>
            <w:pPr>
              <w:spacing w:after="0"/>
              <w:rPr>
                <w:sz w:val="15"/>
                <w:szCs w:val="15"/>
                <w:color w:val="auto"/>
              </w:rPr>
            </w:pPr>
          </w:p>
        </w:tc>
        <w:tc>
          <w:tcPr>
            <w:tcW w:w="1160" w:type="dxa"/>
            <w:vAlign w:val="bottom"/>
            <w:tcBorders>
              <w:bottom w:val="single" w:sz="8" w:color="1B0088"/>
              <w:right w:val="single" w:sz="8" w:color="1B0074"/>
            </w:tcBorders>
          </w:tcPr>
          <w:p>
            <w:pPr>
              <w:spacing w:after="0"/>
              <w:rPr>
                <w:sz w:val="15"/>
                <w:szCs w:val="15"/>
                <w:color w:val="auto"/>
              </w:rPr>
            </w:pPr>
          </w:p>
        </w:tc>
        <w:tc>
          <w:tcPr>
            <w:tcW w:w="1000" w:type="dxa"/>
            <w:vAlign w:val="bottom"/>
            <w:tcBorders>
              <w:bottom w:val="single" w:sz="8" w:color="1B0088"/>
            </w:tcBorders>
          </w:tcPr>
          <w:p>
            <w:pPr>
              <w:spacing w:after="0"/>
              <w:rPr>
                <w:sz w:val="15"/>
                <w:szCs w:val="15"/>
                <w:color w:val="auto"/>
              </w:rPr>
            </w:pPr>
          </w:p>
        </w:tc>
        <w:tc>
          <w:tcPr>
            <w:tcW w:w="1260" w:type="dxa"/>
            <w:vAlign w:val="bottom"/>
            <w:tcBorders>
              <w:bottom w:val="single" w:sz="8" w:color="1B0088"/>
            </w:tcBorders>
          </w:tcPr>
          <w:p>
            <w:pPr>
              <w:spacing w:after="0"/>
              <w:rPr>
                <w:sz w:val="15"/>
                <w:szCs w:val="15"/>
                <w:color w:val="auto"/>
              </w:rPr>
            </w:pPr>
          </w:p>
        </w:tc>
        <w:tc>
          <w:tcPr>
            <w:tcW w:w="1120" w:type="dxa"/>
            <w:vAlign w:val="bottom"/>
            <w:tcBorders>
              <w:bottom w:val="single" w:sz="8" w:color="1B0088"/>
            </w:tcBorders>
          </w:tcPr>
          <w:p>
            <w:pPr>
              <w:spacing w:after="0"/>
              <w:rPr>
                <w:sz w:val="15"/>
                <w:szCs w:val="15"/>
                <w:color w:val="auto"/>
              </w:rPr>
            </w:pPr>
          </w:p>
        </w:tc>
        <w:tc>
          <w:tcPr>
            <w:tcW w:w="20" w:type="dxa"/>
            <w:vAlign w:val="bottom"/>
            <w:tcBorders>
              <w:bottom w:val="single" w:sz="8" w:color="1B0088"/>
            </w:tcBorders>
            <w:shd w:val="clear" w:color="auto" w:fill="1B0088"/>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PASSENGER LOAD FACTOR</w:t>
            </w:r>
          </w:p>
        </w:tc>
        <w:tc>
          <w:tcPr>
            <w:tcW w:w="1040" w:type="dxa"/>
            <w:vAlign w:val="bottom"/>
            <w:shd w:val="clear" w:color="auto" w:fill="1B0074"/>
          </w:tcPr>
          <w:p>
            <w:pPr>
              <w:spacing w:after="0"/>
              <w:rPr>
                <w:sz w:val="21"/>
                <w:szCs w:val="21"/>
                <w:color w:val="auto"/>
              </w:rPr>
            </w:pPr>
          </w:p>
        </w:tc>
        <w:tc>
          <w:tcPr>
            <w:tcW w:w="1140" w:type="dxa"/>
            <w:vAlign w:val="bottom"/>
            <w:shd w:val="clear" w:color="auto" w:fill="1B0074"/>
          </w:tcPr>
          <w:p>
            <w:pPr>
              <w:spacing w:after="0"/>
              <w:rPr>
                <w:sz w:val="21"/>
                <w:szCs w:val="21"/>
                <w:color w:val="auto"/>
              </w:rPr>
            </w:pPr>
          </w:p>
        </w:tc>
        <w:tc>
          <w:tcPr>
            <w:tcW w:w="116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140" w:type="dxa"/>
            <w:vAlign w:val="bottom"/>
            <w:tcBorders>
              <w:bottom w:val="single" w:sz="8" w:color="1B0074"/>
            </w:tcBorders>
            <w:shd w:val="clear" w:color="auto" w:fill="1B0074"/>
          </w:tcPr>
          <w:p>
            <w:pPr>
              <w:spacing w:after="0"/>
              <w:rPr>
                <w:sz w:val="14"/>
                <w:szCs w:val="14"/>
                <w:color w:val="auto"/>
              </w:rPr>
            </w:pPr>
          </w:p>
        </w:tc>
        <w:tc>
          <w:tcPr>
            <w:tcW w:w="116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shd w:val="clear" w:color="auto" w:fill="1B0074"/>
          </w:tcPr>
          <w:p>
            <w:pPr>
              <w:spacing w:after="0"/>
              <w:rPr>
                <w:sz w:val="14"/>
                <w:szCs w:val="14"/>
                <w:color w:val="auto"/>
              </w:rPr>
            </w:pPr>
          </w:p>
        </w:tc>
        <w:tc>
          <w:tcPr>
            <w:tcW w:w="1260" w:type="dxa"/>
            <w:vAlign w:val="bottom"/>
            <w:shd w:val="clear" w:color="auto" w:fill="1B0074"/>
          </w:tcPr>
          <w:p>
            <w:pPr>
              <w:spacing w:after="0"/>
              <w:rPr>
                <w:sz w:val="14"/>
                <w:szCs w:val="14"/>
                <w:color w:val="auto"/>
              </w:rPr>
            </w:pPr>
          </w:p>
        </w:tc>
        <w:tc>
          <w:tcPr>
            <w:tcW w:w="1120" w:type="dxa"/>
            <w:vAlign w:val="bottom"/>
            <w:tcBorders>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85.6%</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83.3%</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rPr>
              <w:t>2.2p.p</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86.0%</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84.1%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2.0p.p</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DOMESTIC SSC (1)</w:t>
            </w:r>
          </w:p>
        </w:tc>
        <w:tc>
          <w:tcPr>
            <w:tcW w:w="1040" w:type="dxa"/>
            <w:vAlign w:val="bottom"/>
          </w:tcPr>
          <w:p>
            <w:pPr>
              <w:jc w:val="center"/>
              <w:spacing w:after="0"/>
              <w:rPr>
                <w:sz w:val="20"/>
                <w:szCs w:val="20"/>
                <w:color w:val="auto"/>
              </w:rPr>
            </w:pPr>
            <w:r>
              <w:rPr>
                <w:rFonts w:ascii="Arial" w:cs="Arial" w:eastAsia="Arial" w:hAnsi="Arial"/>
                <w:sz w:val="16"/>
                <w:szCs w:val="16"/>
                <w:color w:val="auto"/>
              </w:rPr>
              <w:t>87.0%</w:t>
            </w:r>
          </w:p>
        </w:tc>
        <w:tc>
          <w:tcPr>
            <w:tcW w:w="1140" w:type="dxa"/>
            <w:vAlign w:val="bottom"/>
          </w:tcPr>
          <w:p>
            <w:pPr>
              <w:jc w:val="center"/>
              <w:spacing w:after="0"/>
              <w:rPr>
                <w:sz w:val="20"/>
                <w:szCs w:val="20"/>
                <w:color w:val="auto"/>
              </w:rPr>
            </w:pPr>
            <w:r>
              <w:rPr>
                <w:rFonts w:ascii="Arial" w:cs="Arial" w:eastAsia="Arial" w:hAnsi="Arial"/>
                <w:sz w:val="16"/>
                <w:szCs w:val="16"/>
                <w:color w:val="auto"/>
              </w:rPr>
              <w:t>84.9%</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2.1p.p</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87.5%</w:t>
            </w:r>
          </w:p>
        </w:tc>
        <w:tc>
          <w:tcPr>
            <w:tcW w:w="1260" w:type="dxa"/>
            <w:vAlign w:val="bottom"/>
          </w:tcPr>
          <w:p>
            <w:pPr>
              <w:jc w:val="center"/>
              <w:spacing w:after="0"/>
              <w:rPr>
                <w:sz w:val="20"/>
                <w:szCs w:val="20"/>
                <w:color w:val="auto"/>
              </w:rPr>
            </w:pPr>
            <w:r>
              <w:rPr>
                <w:rFonts w:ascii="Arial" w:cs="Arial" w:eastAsia="Arial" w:hAnsi="Arial"/>
                <w:sz w:val="16"/>
                <w:szCs w:val="16"/>
                <w:color w:val="auto"/>
              </w:rPr>
              <w:t>84.5%</w:t>
            </w:r>
          </w:p>
        </w:tc>
        <w:tc>
          <w:tcPr>
            <w:tcW w:w="1120" w:type="dxa"/>
            <w:vAlign w:val="bottom"/>
          </w:tcPr>
          <w:p>
            <w:pPr>
              <w:jc w:val="center"/>
              <w:spacing w:after="0"/>
              <w:rPr>
                <w:sz w:val="20"/>
                <w:szCs w:val="20"/>
                <w:color w:val="auto"/>
              </w:rPr>
            </w:pPr>
            <w:r>
              <w:rPr>
                <w:rFonts w:ascii="Arial" w:cs="Arial" w:eastAsia="Arial" w:hAnsi="Arial"/>
                <w:sz w:val="16"/>
                <w:szCs w:val="16"/>
                <w:color w:val="auto"/>
              </w:rPr>
              <w:t>3.0p.p</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DOMESTIC BRAZIL (2)</w:t>
            </w:r>
          </w:p>
        </w:tc>
        <w:tc>
          <w:tcPr>
            <w:tcW w:w="1040" w:type="dxa"/>
            <w:vAlign w:val="bottom"/>
          </w:tcPr>
          <w:p>
            <w:pPr>
              <w:jc w:val="center"/>
              <w:spacing w:after="0"/>
              <w:rPr>
                <w:sz w:val="20"/>
                <w:szCs w:val="20"/>
                <w:color w:val="auto"/>
              </w:rPr>
            </w:pPr>
            <w:r>
              <w:rPr>
                <w:rFonts w:ascii="Arial" w:cs="Arial" w:eastAsia="Arial" w:hAnsi="Arial"/>
                <w:sz w:val="16"/>
                <w:szCs w:val="16"/>
                <w:color w:val="auto"/>
              </w:rPr>
              <w:t>82.0%</w:t>
            </w:r>
          </w:p>
        </w:tc>
        <w:tc>
          <w:tcPr>
            <w:tcW w:w="1140" w:type="dxa"/>
            <w:vAlign w:val="bottom"/>
          </w:tcPr>
          <w:p>
            <w:pPr>
              <w:jc w:val="center"/>
              <w:spacing w:after="0"/>
              <w:rPr>
                <w:sz w:val="20"/>
                <w:szCs w:val="20"/>
                <w:color w:val="auto"/>
              </w:rPr>
            </w:pPr>
            <w:r>
              <w:rPr>
                <w:rFonts w:ascii="Arial" w:cs="Arial" w:eastAsia="Arial" w:hAnsi="Arial"/>
                <w:sz w:val="16"/>
                <w:szCs w:val="16"/>
                <w:color w:val="auto"/>
              </w:rPr>
              <w:t>79.8%</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2.2p.p</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82.9%</w:t>
            </w:r>
          </w:p>
        </w:tc>
        <w:tc>
          <w:tcPr>
            <w:tcW w:w="1260" w:type="dxa"/>
            <w:vAlign w:val="bottom"/>
          </w:tcPr>
          <w:p>
            <w:pPr>
              <w:jc w:val="center"/>
              <w:spacing w:after="0"/>
              <w:rPr>
                <w:sz w:val="20"/>
                <w:szCs w:val="20"/>
                <w:color w:val="auto"/>
              </w:rPr>
            </w:pPr>
            <w:r>
              <w:rPr>
                <w:rFonts w:ascii="Arial" w:cs="Arial" w:eastAsia="Arial" w:hAnsi="Arial"/>
                <w:sz w:val="16"/>
                <w:szCs w:val="16"/>
                <w:color w:val="auto"/>
              </w:rPr>
              <w:t>81.5%</w:t>
            </w:r>
          </w:p>
        </w:tc>
        <w:tc>
          <w:tcPr>
            <w:tcW w:w="1120" w:type="dxa"/>
            <w:vAlign w:val="bottom"/>
          </w:tcPr>
          <w:p>
            <w:pPr>
              <w:jc w:val="center"/>
              <w:spacing w:after="0"/>
              <w:rPr>
                <w:sz w:val="20"/>
                <w:szCs w:val="20"/>
                <w:color w:val="auto"/>
              </w:rPr>
            </w:pPr>
            <w:r>
              <w:rPr>
                <w:rFonts w:ascii="Arial" w:cs="Arial" w:eastAsia="Arial" w:hAnsi="Arial"/>
                <w:sz w:val="16"/>
                <w:szCs w:val="16"/>
                <w:color w:val="auto"/>
              </w:rPr>
              <w:t>1.4p.p</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INTERNATIONAL (3)</w:t>
            </w:r>
          </w:p>
        </w:tc>
        <w:tc>
          <w:tcPr>
            <w:tcW w:w="1040" w:type="dxa"/>
            <w:vAlign w:val="bottom"/>
          </w:tcPr>
          <w:p>
            <w:pPr>
              <w:jc w:val="center"/>
              <w:spacing w:after="0"/>
              <w:rPr>
                <w:sz w:val="20"/>
                <w:szCs w:val="20"/>
                <w:color w:val="auto"/>
              </w:rPr>
            </w:pPr>
            <w:r>
              <w:rPr>
                <w:rFonts w:ascii="Arial" w:cs="Arial" w:eastAsia="Arial" w:hAnsi="Arial"/>
                <w:sz w:val="16"/>
                <w:szCs w:val="16"/>
                <w:color w:val="auto"/>
              </w:rPr>
              <w:t>87.1%</w:t>
            </w:r>
          </w:p>
        </w:tc>
        <w:tc>
          <w:tcPr>
            <w:tcW w:w="1140" w:type="dxa"/>
            <w:vAlign w:val="bottom"/>
          </w:tcPr>
          <w:p>
            <w:pPr>
              <w:jc w:val="center"/>
              <w:spacing w:after="0"/>
              <w:rPr>
                <w:sz w:val="20"/>
                <w:szCs w:val="20"/>
                <w:color w:val="auto"/>
              </w:rPr>
            </w:pPr>
            <w:r>
              <w:rPr>
                <w:rFonts w:ascii="Arial" w:cs="Arial" w:eastAsia="Arial" w:hAnsi="Arial"/>
                <w:sz w:val="16"/>
                <w:szCs w:val="16"/>
                <w:color w:val="auto"/>
              </w:rPr>
              <w:t>84.8%</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2.3p.p</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87.4%</w:t>
            </w:r>
          </w:p>
        </w:tc>
        <w:tc>
          <w:tcPr>
            <w:tcW w:w="1260" w:type="dxa"/>
            <w:vAlign w:val="bottom"/>
          </w:tcPr>
          <w:p>
            <w:pPr>
              <w:jc w:val="center"/>
              <w:spacing w:after="0"/>
              <w:rPr>
                <w:sz w:val="20"/>
                <w:szCs w:val="20"/>
                <w:color w:val="auto"/>
              </w:rPr>
            </w:pPr>
            <w:r>
              <w:rPr>
                <w:rFonts w:ascii="Arial" w:cs="Arial" w:eastAsia="Arial" w:hAnsi="Arial"/>
                <w:sz w:val="16"/>
                <w:szCs w:val="16"/>
                <w:color w:val="auto"/>
              </w:rPr>
              <w:t>85.4%</w:t>
            </w:r>
          </w:p>
        </w:tc>
        <w:tc>
          <w:tcPr>
            <w:tcW w:w="1120" w:type="dxa"/>
            <w:vAlign w:val="bottom"/>
          </w:tcPr>
          <w:p>
            <w:pPr>
              <w:jc w:val="center"/>
              <w:spacing w:after="0"/>
              <w:rPr>
                <w:sz w:val="20"/>
                <w:szCs w:val="20"/>
                <w:color w:val="auto"/>
              </w:rPr>
            </w:pPr>
            <w:r>
              <w:rPr>
                <w:rFonts w:ascii="Arial" w:cs="Arial" w:eastAsia="Arial" w:hAnsi="Arial"/>
                <w:sz w:val="16"/>
                <w:szCs w:val="16"/>
                <w:color w:val="auto"/>
              </w:rPr>
              <w:t>1.9p.p</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520" w:type="dxa"/>
            <w:vAlign w:val="bottom"/>
            <w:tcBorders>
              <w:left w:val="single" w:sz="8" w:color="1B0088"/>
              <w:bottom w:val="single" w:sz="8" w:color="1B0088"/>
              <w:right w:val="single" w:sz="8" w:color="1B0074"/>
            </w:tcBorders>
          </w:tcPr>
          <w:p>
            <w:pPr>
              <w:spacing w:after="0"/>
              <w:rPr>
                <w:sz w:val="15"/>
                <w:szCs w:val="15"/>
                <w:color w:val="auto"/>
              </w:rPr>
            </w:pPr>
          </w:p>
        </w:tc>
        <w:tc>
          <w:tcPr>
            <w:tcW w:w="1040" w:type="dxa"/>
            <w:vAlign w:val="bottom"/>
            <w:tcBorders>
              <w:bottom w:val="single" w:sz="8" w:color="1B0088"/>
            </w:tcBorders>
          </w:tcPr>
          <w:p>
            <w:pPr>
              <w:spacing w:after="0"/>
              <w:rPr>
                <w:sz w:val="15"/>
                <w:szCs w:val="15"/>
                <w:color w:val="auto"/>
              </w:rPr>
            </w:pPr>
          </w:p>
        </w:tc>
        <w:tc>
          <w:tcPr>
            <w:tcW w:w="1140" w:type="dxa"/>
            <w:vAlign w:val="bottom"/>
            <w:tcBorders>
              <w:bottom w:val="single" w:sz="8" w:color="1B0088"/>
            </w:tcBorders>
          </w:tcPr>
          <w:p>
            <w:pPr>
              <w:spacing w:after="0"/>
              <w:rPr>
                <w:sz w:val="15"/>
                <w:szCs w:val="15"/>
                <w:color w:val="auto"/>
              </w:rPr>
            </w:pPr>
          </w:p>
        </w:tc>
        <w:tc>
          <w:tcPr>
            <w:tcW w:w="1160" w:type="dxa"/>
            <w:vAlign w:val="bottom"/>
            <w:tcBorders>
              <w:bottom w:val="single" w:sz="8" w:color="1B0088"/>
              <w:right w:val="single" w:sz="8" w:color="1B0074"/>
            </w:tcBorders>
          </w:tcPr>
          <w:p>
            <w:pPr>
              <w:spacing w:after="0"/>
              <w:rPr>
                <w:sz w:val="15"/>
                <w:szCs w:val="15"/>
                <w:color w:val="auto"/>
              </w:rPr>
            </w:pPr>
          </w:p>
        </w:tc>
        <w:tc>
          <w:tcPr>
            <w:tcW w:w="1000" w:type="dxa"/>
            <w:vAlign w:val="bottom"/>
            <w:tcBorders>
              <w:bottom w:val="single" w:sz="8" w:color="1B0088"/>
            </w:tcBorders>
          </w:tcPr>
          <w:p>
            <w:pPr>
              <w:spacing w:after="0"/>
              <w:rPr>
                <w:sz w:val="15"/>
                <w:szCs w:val="15"/>
                <w:color w:val="auto"/>
              </w:rPr>
            </w:pPr>
          </w:p>
        </w:tc>
        <w:tc>
          <w:tcPr>
            <w:tcW w:w="1260" w:type="dxa"/>
            <w:vAlign w:val="bottom"/>
            <w:tcBorders>
              <w:bottom w:val="single" w:sz="8" w:color="1B0088"/>
            </w:tcBorders>
          </w:tcPr>
          <w:p>
            <w:pPr>
              <w:spacing w:after="0"/>
              <w:rPr>
                <w:sz w:val="15"/>
                <w:szCs w:val="15"/>
                <w:color w:val="auto"/>
              </w:rPr>
            </w:pPr>
          </w:p>
        </w:tc>
        <w:tc>
          <w:tcPr>
            <w:tcW w:w="1120" w:type="dxa"/>
            <w:vAlign w:val="bottom"/>
            <w:tcBorders>
              <w:bottom w:val="single" w:sz="8" w:color="1B0088"/>
            </w:tcBorders>
          </w:tcPr>
          <w:p>
            <w:pPr>
              <w:spacing w:after="0"/>
              <w:rPr>
                <w:sz w:val="15"/>
                <w:szCs w:val="15"/>
                <w:color w:val="auto"/>
              </w:rPr>
            </w:pPr>
          </w:p>
        </w:tc>
        <w:tc>
          <w:tcPr>
            <w:tcW w:w="20" w:type="dxa"/>
            <w:vAlign w:val="bottom"/>
            <w:tcBorders>
              <w:bottom w:val="single" w:sz="8" w:color="1B0088"/>
            </w:tcBorders>
            <w:shd w:val="clear" w:color="auto" w:fill="1B0088"/>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PASSENGER BOARDED (thousand)</w:t>
            </w:r>
          </w:p>
        </w:tc>
        <w:tc>
          <w:tcPr>
            <w:tcW w:w="1040" w:type="dxa"/>
            <w:vAlign w:val="bottom"/>
            <w:shd w:val="clear" w:color="auto" w:fill="1B0074"/>
          </w:tcPr>
          <w:p>
            <w:pPr>
              <w:spacing w:after="0"/>
              <w:rPr>
                <w:sz w:val="21"/>
                <w:szCs w:val="21"/>
                <w:color w:val="auto"/>
              </w:rPr>
            </w:pPr>
          </w:p>
        </w:tc>
        <w:tc>
          <w:tcPr>
            <w:tcW w:w="1140" w:type="dxa"/>
            <w:vAlign w:val="bottom"/>
            <w:shd w:val="clear" w:color="auto" w:fill="1B0074"/>
          </w:tcPr>
          <w:p>
            <w:pPr>
              <w:spacing w:after="0"/>
              <w:rPr>
                <w:sz w:val="21"/>
                <w:szCs w:val="21"/>
                <w:color w:val="auto"/>
              </w:rPr>
            </w:pPr>
          </w:p>
        </w:tc>
        <w:tc>
          <w:tcPr>
            <w:tcW w:w="116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140" w:type="dxa"/>
            <w:vAlign w:val="bottom"/>
            <w:tcBorders>
              <w:bottom w:val="single" w:sz="8" w:color="1B0074"/>
            </w:tcBorders>
            <w:shd w:val="clear" w:color="auto" w:fill="1B0074"/>
          </w:tcPr>
          <w:p>
            <w:pPr>
              <w:spacing w:after="0"/>
              <w:rPr>
                <w:sz w:val="14"/>
                <w:szCs w:val="14"/>
                <w:color w:val="auto"/>
              </w:rPr>
            </w:pPr>
          </w:p>
        </w:tc>
        <w:tc>
          <w:tcPr>
            <w:tcW w:w="116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shd w:val="clear" w:color="auto" w:fill="1B0074"/>
          </w:tcPr>
          <w:p>
            <w:pPr>
              <w:spacing w:after="0"/>
              <w:rPr>
                <w:sz w:val="14"/>
                <w:szCs w:val="14"/>
                <w:color w:val="auto"/>
              </w:rPr>
            </w:pPr>
          </w:p>
        </w:tc>
        <w:tc>
          <w:tcPr>
            <w:tcW w:w="1260" w:type="dxa"/>
            <w:vAlign w:val="bottom"/>
            <w:shd w:val="clear" w:color="auto" w:fill="1B0074"/>
          </w:tcPr>
          <w:p>
            <w:pPr>
              <w:spacing w:after="0"/>
              <w:rPr>
                <w:sz w:val="14"/>
                <w:szCs w:val="14"/>
                <w:color w:val="auto"/>
              </w:rPr>
            </w:pPr>
          </w:p>
        </w:tc>
        <w:tc>
          <w:tcPr>
            <w:tcW w:w="1120" w:type="dxa"/>
            <w:vAlign w:val="bottom"/>
            <w:tcBorders>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7,148</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6,537</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8"/>
              </w:rPr>
              <w:t>9.3%</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15,326</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14,041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9.2%</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DOMESTIC SSC (1)</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2,578</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2,526</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2.1%</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5,449</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5,314</w:t>
            </w:r>
          </w:p>
        </w:tc>
        <w:tc>
          <w:tcPr>
            <w:tcW w:w="1120" w:type="dxa"/>
            <w:vAlign w:val="bottom"/>
          </w:tcPr>
          <w:p>
            <w:pPr>
              <w:jc w:val="center"/>
              <w:spacing w:after="0"/>
              <w:rPr>
                <w:sz w:val="20"/>
                <w:szCs w:val="20"/>
                <w:color w:val="auto"/>
              </w:rPr>
            </w:pPr>
            <w:r>
              <w:rPr>
                <w:rFonts w:ascii="Arial" w:cs="Arial" w:eastAsia="Arial" w:hAnsi="Arial"/>
                <w:sz w:val="16"/>
                <w:szCs w:val="16"/>
                <w:color w:val="auto"/>
              </w:rPr>
              <w:t>2.5%</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DOMESTIC BRAZIL (2)</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3,026</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2,653</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rPr>
              <w:t>14.1%</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6,609</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5,869</w:t>
            </w:r>
          </w:p>
        </w:tc>
        <w:tc>
          <w:tcPr>
            <w:tcW w:w="1120" w:type="dxa"/>
            <w:vAlign w:val="bottom"/>
          </w:tcPr>
          <w:p>
            <w:pPr>
              <w:jc w:val="center"/>
              <w:spacing w:after="0"/>
              <w:rPr>
                <w:sz w:val="20"/>
                <w:szCs w:val="20"/>
                <w:color w:val="auto"/>
              </w:rPr>
            </w:pPr>
            <w:r>
              <w:rPr>
                <w:rFonts w:ascii="Arial" w:cs="Arial" w:eastAsia="Arial" w:hAnsi="Arial"/>
                <w:sz w:val="16"/>
                <w:szCs w:val="16"/>
                <w:color w:val="auto"/>
              </w:rPr>
              <w:t>12.6%</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INTERNATIONAL (3)</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1,544</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1,358</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rPr>
              <w:t>13.7%</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3,268</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2,858</w:t>
            </w:r>
          </w:p>
        </w:tc>
        <w:tc>
          <w:tcPr>
            <w:tcW w:w="1120" w:type="dxa"/>
            <w:vAlign w:val="bottom"/>
          </w:tcPr>
          <w:p>
            <w:pPr>
              <w:jc w:val="center"/>
              <w:spacing w:after="0"/>
              <w:rPr>
                <w:sz w:val="20"/>
                <w:szCs w:val="20"/>
                <w:color w:val="auto"/>
              </w:rPr>
            </w:pPr>
            <w:r>
              <w:rPr>
                <w:rFonts w:ascii="Arial" w:cs="Arial" w:eastAsia="Arial" w:hAnsi="Arial"/>
                <w:sz w:val="16"/>
                <w:szCs w:val="16"/>
                <w:color w:val="auto"/>
              </w:rPr>
              <w:t>14.3%</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520" w:type="dxa"/>
            <w:vAlign w:val="bottom"/>
            <w:tcBorders>
              <w:left w:val="single" w:sz="8" w:color="1B0088"/>
              <w:bottom w:val="single" w:sz="8" w:color="1B0088"/>
              <w:right w:val="single" w:sz="8" w:color="1B0074"/>
            </w:tcBorders>
          </w:tcPr>
          <w:p>
            <w:pPr>
              <w:spacing w:after="0"/>
              <w:rPr>
                <w:sz w:val="15"/>
                <w:szCs w:val="15"/>
                <w:color w:val="auto"/>
              </w:rPr>
            </w:pPr>
          </w:p>
        </w:tc>
        <w:tc>
          <w:tcPr>
            <w:tcW w:w="1040" w:type="dxa"/>
            <w:vAlign w:val="bottom"/>
            <w:tcBorders>
              <w:bottom w:val="single" w:sz="8" w:color="1B0088"/>
            </w:tcBorders>
          </w:tcPr>
          <w:p>
            <w:pPr>
              <w:spacing w:after="0"/>
              <w:rPr>
                <w:sz w:val="15"/>
                <w:szCs w:val="15"/>
                <w:color w:val="auto"/>
              </w:rPr>
            </w:pPr>
          </w:p>
        </w:tc>
        <w:tc>
          <w:tcPr>
            <w:tcW w:w="1140" w:type="dxa"/>
            <w:vAlign w:val="bottom"/>
            <w:tcBorders>
              <w:bottom w:val="single" w:sz="8" w:color="1B0088"/>
            </w:tcBorders>
          </w:tcPr>
          <w:p>
            <w:pPr>
              <w:spacing w:after="0"/>
              <w:rPr>
                <w:sz w:val="15"/>
                <w:szCs w:val="15"/>
                <w:color w:val="auto"/>
              </w:rPr>
            </w:pPr>
          </w:p>
        </w:tc>
        <w:tc>
          <w:tcPr>
            <w:tcW w:w="1160" w:type="dxa"/>
            <w:vAlign w:val="bottom"/>
            <w:tcBorders>
              <w:bottom w:val="single" w:sz="8" w:color="1B0088"/>
              <w:right w:val="single" w:sz="8" w:color="1B0074"/>
            </w:tcBorders>
          </w:tcPr>
          <w:p>
            <w:pPr>
              <w:spacing w:after="0"/>
              <w:rPr>
                <w:sz w:val="15"/>
                <w:szCs w:val="15"/>
                <w:color w:val="auto"/>
              </w:rPr>
            </w:pPr>
          </w:p>
        </w:tc>
        <w:tc>
          <w:tcPr>
            <w:tcW w:w="1000" w:type="dxa"/>
            <w:vAlign w:val="bottom"/>
            <w:tcBorders>
              <w:bottom w:val="single" w:sz="8" w:color="1B0088"/>
            </w:tcBorders>
          </w:tcPr>
          <w:p>
            <w:pPr>
              <w:spacing w:after="0"/>
              <w:rPr>
                <w:sz w:val="15"/>
                <w:szCs w:val="15"/>
                <w:color w:val="auto"/>
              </w:rPr>
            </w:pPr>
          </w:p>
        </w:tc>
        <w:tc>
          <w:tcPr>
            <w:tcW w:w="1260" w:type="dxa"/>
            <w:vAlign w:val="bottom"/>
            <w:tcBorders>
              <w:bottom w:val="single" w:sz="8" w:color="1B0088"/>
            </w:tcBorders>
          </w:tcPr>
          <w:p>
            <w:pPr>
              <w:spacing w:after="0"/>
              <w:rPr>
                <w:sz w:val="15"/>
                <w:szCs w:val="15"/>
                <w:color w:val="auto"/>
              </w:rPr>
            </w:pPr>
          </w:p>
        </w:tc>
        <w:tc>
          <w:tcPr>
            <w:tcW w:w="1120" w:type="dxa"/>
            <w:vAlign w:val="bottom"/>
            <w:tcBorders>
              <w:bottom w:val="single" w:sz="8" w:color="1B0088"/>
            </w:tcBorders>
          </w:tcPr>
          <w:p>
            <w:pPr>
              <w:spacing w:after="0"/>
              <w:rPr>
                <w:sz w:val="15"/>
                <w:szCs w:val="15"/>
                <w:color w:val="auto"/>
              </w:rPr>
            </w:pPr>
          </w:p>
        </w:tc>
        <w:tc>
          <w:tcPr>
            <w:tcW w:w="20" w:type="dxa"/>
            <w:vAlign w:val="bottom"/>
            <w:tcBorders>
              <w:bottom w:val="single" w:sz="8" w:color="1B0088"/>
            </w:tcBorders>
            <w:shd w:val="clear" w:color="auto" w:fill="1B0088"/>
          </w:tcPr>
          <w:p>
            <w:pPr>
              <w:spacing w:after="0"/>
              <w:rPr>
                <w:sz w:val="15"/>
                <w:szCs w:val="15"/>
                <w:color w:val="auto"/>
              </w:rPr>
            </w:pPr>
          </w:p>
        </w:tc>
        <w:tc>
          <w:tcPr>
            <w:tcW w:w="0" w:type="dxa"/>
            <w:vAlign w:val="bottom"/>
          </w:tcPr>
          <w:p>
            <w:pPr>
              <w:spacing w:after="0"/>
              <w:rPr>
                <w:sz w:val="1"/>
                <w:szCs w:val="1"/>
                <w:color w:val="auto"/>
              </w:rPr>
            </w:pPr>
          </w:p>
        </w:tc>
      </w:tr>
      <w:tr>
        <w:trPr>
          <w:trHeight w:val="526"/>
        </w:trPr>
        <w:tc>
          <w:tcPr>
            <w:tcW w:w="4520" w:type="dxa"/>
            <w:vAlign w:val="bottom"/>
          </w:tcPr>
          <w:p>
            <w:pPr>
              <w:ind w:left="120"/>
              <w:spacing w:after="0"/>
              <w:rPr>
                <w:sz w:val="20"/>
                <w:szCs w:val="20"/>
                <w:color w:val="auto"/>
              </w:rPr>
            </w:pPr>
            <w:r>
              <w:rPr>
                <w:rFonts w:ascii="Arial" w:cs="Arial" w:eastAsia="Arial" w:hAnsi="Arial"/>
                <w:sz w:val="16"/>
                <w:szCs w:val="16"/>
                <w:b w:val="1"/>
                <w:bCs w:val="1"/>
                <w:color w:val="auto"/>
              </w:rPr>
              <w:t>LATAM GROUP CARGO OPERATIONS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REVENUE TON KILOMETERS (Cargo) (million)</w:t>
            </w:r>
          </w:p>
        </w:tc>
        <w:tc>
          <w:tcPr>
            <w:tcW w:w="1040" w:type="dxa"/>
            <w:vAlign w:val="bottom"/>
            <w:shd w:val="clear" w:color="auto" w:fill="1B0074"/>
          </w:tcPr>
          <w:p>
            <w:pPr>
              <w:spacing w:after="0"/>
              <w:rPr>
                <w:sz w:val="21"/>
                <w:szCs w:val="21"/>
                <w:color w:val="auto"/>
              </w:rPr>
            </w:pPr>
          </w:p>
        </w:tc>
        <w:tc>
          <w:tcPr>
            <w:tcW w:w="1140" w:type="dxa"/>
            <w:vAlign w:val="bottom"/>
            <w:shd w:val="clear" w:color="auto" w:fill="1B0074"/>
          </w:tcPr>
          <w:p>
            <w:pPr>
              <w:spacing w:after="0"/>
              <w:rPr>
                <w:sz w:val="21"/>
                <w:szCs w:val="21"/>
                <w:color w:val="auto"/>
              </w:rPr>
            </w:pPr>
          </w:p>
        </w:tc>
        <w:tc>
          <w:tcPr>
            <w:tcW w:w="116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140" w:type="dxa"/>
            <w:vAlign w:val="bottom"/>
            <w:tcBorders>
              <w:bottom w:val="single" w:sz="8" w:color="1B0074"/>
            </w:tcBorders>
            <w:shd w:val="clear" w:color="auto" w:fill="1B0074"/>
          </w:tcPr>
          <w:p>
            <w:pPr>
              <w:spacing w:after="0"/>
              <w:rPr>
                <w:sz w:val="14"/>
                <w:szCs w:val="14"/>
                <w:color w:val="auto"/>
              </w:rPr>
            </w:pPr>
          </w:p>
        </w:tc>
        <w:tc>
          <w:tcPr>
            <w:tcW w:w="116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tcBorders>
              <w:bottom w:val="single" w:sz="8" w:color="1B0074"/>
            </w:tcBorders>
            <w:shd w:val="clear" w:color="auto" w:fill="1B0074"/>
          </w:tcPr>
          <w:p>
            <w:pPr>
              <w:spacing w:after="0"/>
              <w:rPr>
                <w:sz w:val="14"/>
                <w:szCs w:val="14"/>
                <w:color w:val="auto"/>
              </w:rPr>
            </w:pPr>
          </w:p>
        </w:tc>
        <w:tc>
          <w:tcPr>
            <w:tcW w:w="1260" w:type="dxa"/>
            <w:vAlign w:val="bottom"/>
            <w:tcBorders>
              <w:bottom w:val="single" w:sz="8" w:color="1B0074"/>
            </w:tcBorders>
            <w:shd w:val="clear" w:color="auto" w:fill="1B0074"/>
          </w:tcPr>
          <w:p>
            <w:pPr>
              <w:spacing w:after="0"/>
              <w:rPr>
                <w:sz w:val="14"/>
                <w:szCs w:val="14"/>
                <w:color w:val="auto"/>
              </w:rPr>
            </w:pPr>
          </w:p>
        </w:tc>
        <w:tc>
          <w:tcPr>
            <w:tcW w:w="1120" w:type="dxa"/>
            <w:vAlign w:val="bottom"/>
            <w:tcBorders>
              <w:bottom w:val="single" w:sz="8" w:color="1B0074"/>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360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341</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8"/>
              </w:rPr>
              <w:t>5.7%</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710</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698</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1.8%</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bottom w:val="single" w:sz="8" w:color="1B0088"/>
              <w:right w:val="single" w:sz="8" w:color="1B0074"/>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140" w:type="dxa"/>
            <w:vAlign w:val="bottom"/>
            <w:tcBorders>
              <w:bottom w:val="single" w:sz="8" w:color="1B0088"/>
            </w:tcBorders>
          </w:tcPr>
          <w:p>
            <w:pPr>
              <w:spacing w:after="0"/>
              <w:rPr>
                <w:sz w:val="14"/>
                <w:szCs w:val="14"/>
                <w:color w:val="auto"/>
              </w:rPr>
            </w:pPr>
          </w:p>
        </w:tc>
        <w:tc>
          <w:tcPr>
            <w:tcW w:w="1160" w:type="dxa"/>
            <w:vAlign w:val="bottom"/>
            <w:tcBorders>
              <w:bottom w:val="single" w:sz="8" w:color="1B0088"/>
              <w:right w:val="single" w:sz="8" w:color="1B0074"/>
            </w:tcBorders>
          </w:tcPr>
          <w:p>
            <w:pPr>
              <w:spacing w:after="0"/>
              <w:rPr>
                <w:sz w:val="14"/>
                <w:szCs w:val="14"/>
                <w:color w:val="auto"/>
              </w:rPr>
            </w:pPr>
          </w:p>
        </w:tc>
        <w:tc>
          <w:tcPr>
            <w:tcW w:w="1000" w:type="dxa"/>
            <w:vAlign w:val="bottom"/>
            <w:tcBorders>
              <w:bottom w:val="single" w:sz="8" w:color="1B0088"/>
            </w:tcBorders>
          </w:tcPr>
          <w:p>
            <w:pPr>
              <w:spacing w:after="0"/>
              <w:rPr>
                <w:sz w:val="14"/>
                <w:szCs w:val="14"/>
                <w:color w:val="auto"/>
              </w:rPr>
            </w:pPr>
          </w:p>
        </w:tc>
        <w:tc>
          <w:tcPr>
            <w:tcW w:w="1260" w:type="dxa"/>
            <w:vAlign w:val="bottom"/>
            <w:tcBorders>
              <w:bottom w:val="single" w:sz="8" w:color="1B0088"/>
            </w:tcBorders>
          </w:tcPr>
          <w:p>
            <w:pPr>
              <w:spacing w:after="0"/>
              <w:rPr>
                <w:sz w:val="14"/>
                <w:szCs w:val="14"/>
                <w:color w:val="auto"/>
              </w:rPr>
            </w:pPr>
          </w:p>
        </w:tc>
        <w:tc>
          <w:tcPr>
            <w:tcW w:w="1120" w:type="dxa"/>
            <w:vAlign w:val="bottom"/>
            <w:tcBorders>
              <w:bottom w:val="single" w:sz="8" w:color="1B0088"/>
            </w:tcBorders>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1B0074"/>
            </w:tcBorders>
          </w:tcPr>
          <w:p>
            <w:pPr>
              <w:spacing w:after="0"/>
              <w:rPr>
                <w:sz w:val="21"/>
                <w:szCs w:val="21"/>
                <w:color w:val="auto"/>
              </w:rPr>
            </w:pPr>
          </w:p>
        </w:tc>
        <w:tc>
          <w:tcPr>
            <w:tcW w:w="1040" w:type="dxa"/>
            <w:vAlign w:val="bottom"/>
            <w:tcBorders>
              <w:bottom w:val="single" w:sz="8" w:color="1B0074"/>
            </w:tcBorders>
          </w:tcPr>
          <w:p>
            <w:pPr>
              <w:spacing w:after="0"/>
              <w:rPr>
                <w:sz w:val="21"/>
                <w:szCs w:val="21"/>
                <w:color w:val="auto"/>
              </w:rPr>
            </w:pPr>
          </w:p>
        </w:tc>
        <w:tc>
          <w:tcPr>
            <w:tcW w:w="1140" w:type="dxa"/>
            <w:vAlign w:val="bottom"/>
            <w:tcBorders>
              <w:bottom w:val="single" w:sz="8" w:color="1B0074"/>
            </w:tcBorders>
          </w:tcPr>
          <w:p>
            <w:pPr>
              <w:spacing w:after="0"/>
              <w:rPr>
                <w:sz w:val="21"/>
                <w:szCs w:val="21"/>
                <w:color w:val="auto"/>
              </w:rPr>
            </w:pPr>
          </w:p>
        </w:tc>
        <w:tc>
          <w:tcPr>
            <w:tcW w:w="1160" w:type="dxa"/>
            <w:vAlign w:val="bottom"/>
            <w:tcBorders>
              <w:bottom w:val="single" w:sz="8" w:color="1B0074"/>
            </w:tcBorders>
          </w:tcPr>
          <w:p>
            <w:pPr>
              <w:spacing w:after="0"/>
              <w:rPr>
                <w:sz w:val="21"/>
                <w:szCs w:val="21"/>
                <w:color w:val="auto"/>
              </w:rPr>
            </w:pPr>
          </w:p>
        </w:tc>
        <w:tc>
          <w:tcPr>
            <w:tcW w:w="1000" w:type="dxa"/>
            <w:vAlign w:val="bottom"/>
            <w:tcBorders>
              <w:bottom w:val="single" w:sz="8" w:color="1B0074"/>
            </w:tcBorders>
          </w:tcPr>
          <w:p>
            <w:pPr>
              <w:spacing w:after="0"/>
              <w:rPr>
                <w:sz w:val="21"/>
                <w:szCs w:val="21"/>
                <w:color w:val="auto"/>
              </w:rPr>
            </w:pPr>
          </w:p>
        </w:tc>
        <w:tc>
          <w:tcPr>
            <w:tcW w:w="1260" w:type="dxa"/>
            <w:vAlign w:val="bottom"/>
            <w:tcBorders>
              <w:bottom w:val="single" w:sz="8" w:color="1B0074"/>
            </w:tcBorders>
          </w:tcPr>
          <w:p>
            <w:pPr>
              <w:spacing w:after="0"/>
              <w:rPr>
                <w:sz w:val="21"/>
                <w:szCs w:val="21"/>
                <w:color w:val="auto"/>
              </w:rPr>
            </w:pPr>
          </w:p>
        </w:tc>
        <w:tc>
          <w:tcPr>
            <w:tcW w:w="1120" w:type="dxa"/>
            <w:vAlign w:val="bottom"/>
            <w:tcBorders>
              <w:bottom w:val="single" w:sz="8" w:color="1B0074"/>
            </w:tcBorders>
          </w:tcPr>
          <w:p>
            <w:pPr>
              <w:spacing w:after="0"/>
              <w:rPr>
                <w:sz w:val="21"/>
                <w:szCs w:val="21"/>
                <w:color w:val="auto"/>
              </w:rPr>
            </w:pPr>
          </w:p>
        </w:tc>
        <w:tc>
          <w:tcPr>
            <w:tcW w:w="20" w:type="dxa"/>
            <w:vAlign w:val="bottom"/>
            <w:tcBorders>
              <w:bottom w:val="single" w:sz="8" w:color="1B0088"/>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AVAILABLE TON KILOMETERS (Cargo) (million)</w:t>
            </w:r>
          </w:p>
        </w:tc>
        <w:tc>
          <w:tcPr>
            <w:tcW w:w="1040" w:type="dxa"/>
            <w:vAlign w:val="bottom"/>
            <w:shd w:val="clear" w:color="auto" w:fill="1B0074"/>
          </w:tcPr>
          <w:p>
            <w:pPr>
              <w:spacing w:after="0"/>
              <w:rPr>
                <w:sz w:val="19"/>
                <w:szCs w:val="19"/>
                <w:color w:val="auto"/>
              </w:rPr>
            </w:pPr>
          </w:p>
        </w:tc>
        <w:tc>
          <w:tcPr>
            <w:tcW w:w="1140" w:type="dxa"/>
            <w:vAlign w:val="bottom"/>
            <w:shd w:val="clear" w:color="auto" w:fill="1B0074"/>
          </w:tcPr>
          <w:p>
            <w:pPr>
              <w:spacing w:after="0"/>
              <w:rPr>
                <w:sz w:val="19"/>
                <w:szCs w:val="19"/>
                <w:color w:val="auto"/>
              </w:rPr>
            </w:pPr>
          </w:p>
        </w:tc>
        <w:tc>
          <w:tcPr>
            <w:tcW w:w="1160" w:type="dxa"/>
            <w:vAlign w:val="bottom"/>
            <w:tcBorders>
              <w:right w:val="single" w:sz="8" w:color="1B0074"/>
            </w:tcBorders>
            <w:shd w:val="clear" w:color="auto" w:fill="1B0074"/>
          </w:tcPr>
          <w:p>
            <w:pPr>
              <w:spacing w:after="0"/>
              <w:rPr>
                <w:sz w:val="19"/>
                <w:szCs w:val="19"/>
                <w:color w:val="auto"/>
              </w:rPr>
            </w:pPr>
          </w:p>
        </w:tc>
        <w:tc>
          <w:tcPr>
            <w:tcW w:w="1000" w:type="dxa"/>
            <w:vAlign w:val="bottom"/>
            <w:shd w:val="clear" w:color="auto" w:fill="1B0074"/>
          </w:tcPr>
          <w:p>
            <w:pPr>
              <w:spacing w:after="0"/>
              <w:rPr>
                <w:sz w:val="19"/>
                <w:szCs w:val="19"/>
                <w:color w:val="auto"/>
              </w:rPr>
            </w:pPr>
          </w:p>
        </w:tc>
        <w:tc>
          <w:tcPr>
            <w:tcW w:w="1260" w:type="dxa"/>
            <w:vAlign w:val="bottom"/>
            <w:shd w:val="clear" w:color="auto" w:fill="1B0074"/>
          </w:tcPr>
          <w:p>
            <w:pPr>
              <w:spacing w:after="0"/>
              <w:rPr>
                <w:sz w:val="19"/>
                <w:szCs w:val="19"/>
                <w:color w:val="auto"/>
              </w:rPr>
            </w:pPr>
          </w:p>
        </w:tc>
        <w:tc>
          <w:tcPr>
            <w:tcW w:w="1120" w:type="dxa"/>
            <w:vAlign w:val="bottom"/>
            <w:tcBorders>
              <w:right w:val="single" w:sz="8" w:color="1B0074"/>
            </w:tcBorders>
            <w:shd w:val="clear" w:color="auto" w:fill="1B0074"/>
          </w:tcPr>
          <w:p>
            <w:pPr>
              <w:spacing w:after="0"/>
              <w:rPr>
                <w:sz w:val="19"/>
                <w:szCs w:val="19"/>
                <w:color w:val="auto"/>
              </w:rPr>
            </w:pP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140" w:type="dxa"/>
            <w:vAlign w:val="bottom"/>
            <w:tcBorders>
              <w:bottom w:val="single" w:sz="8" w:color="1B0074"/>
            </w:tcBorders>
            <w:shd w:val="clear" w:color="auto" w:fill="1B0074"/>
          </w:tcPr>
          <w:p>
            <w:pPr>
              <w:spacing w:after="0"/>
              <w:rPr>
                <w:sz w:val="14"/>
                <w:szCs w:val="14"/>
                <w:color w:val="auto"/>
              </w:rPr>
            </w:pPr>
          </w:p>
        </w:tc>
        <w:tc>
          <w:tcPr>
            <w:tcW w:w="116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tcBorders>
              <w:bottom w:val="single" w:sz="8" w:color="1B0074"/>
            </w:tcBorders>
            <w:shd w:val="clear" w:color="auto" w:fill="1B0074"/>
          </w:tcPr>
          <w:p>
            <w:pPr>
              <w:spacing w:after="0"/>
              <w:rPr>
                <w:sz w:val="14"/>
                <w:szCs w:val="14"/>
                <w:color w:val="auto"/>
              </w:rPr>
            </w:pPr>
          </w:p>
        </w:tc>
        <w:tc>
          <w:tcPr>
            <w:tcW w:w="1260" w:type="dxa"/>
            <w:vAlign w:val="bottom"/>
            <w:tcBorders>
              <w:bottom w:val="single" w:sz="8" w:color="1B0074"/>
            </w:tcBorders>
            <w:shd w:val="clear" w:color="auto" w:fill="1B0074"/>
          </w:tcPr>
          <w:p>
            <w:pPr>
              <w:spacing w:after="0"/>
              <w:rPr>
                <w:sz w:val="14"/>
                <w:szCs w:val="14"/>
                <w:color w:val="auto"/>
              </w:rPr>
            </w:pPr>
          </w:p>
        </w:tc>
        <w:tc>
          <w:tcPr>
            <w:tcW w:w="1120" w:type="dxa"/>
            <w:vAlign w:val="bottom"/>
            <w:tcBorders>
              <w:bottom w:val="single" w:sz="8" w:color="1B0074"/>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686</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638</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8"/>
              </w:rPr>
              <w:t>7.6%</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9"/>
              </w:rPr>
              <w:t>1,432</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9"/>
              </w:rPr>
              <w:t>1,339</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7.0%</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bottom w:val="single" w:sz="8" w:color="1B0088"/>
              <w:right w:val="single" w:sz="8" w:color="1B0074"/>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140" w:type="dxa"/>
            <w:vAlign w:val="bottom"/>
            <w:tcBorders>
              <w:bottom w:val="single" w:sz="8" w:color="1B0088"/>
            </w:tcBorders>
          </w:tcPr>
          <w:p>
            <w:pPr>
              <w:spacing w:after="0"/>
              <w:rPr>
                <w:sz w:val="14"/>
                <w:szCs w:val="14"/>
                <w:color w:val="auto"/>
              </w:rPr>
            </w:pPr>
          </w:p>
        </w:tc>
        <w:tc>
          <w:tcPr>
            <w:tcW w:w="1160" w:type="dxa"/>
            <w:vAlign w:val="bottom"/>
            <w:tcBorders>
              <w:bottom w:val="single" w:sz="8" w:color="1B0088"/>
              <w:right w:val="single" w:sz="8" w:color="1B0074"/>
            </w:tcBorders>
          </w:tcPr>
          <w:p>
            <w:pPr>
              <w:spacing w:after="0"/>
              <w:rPr>
                <w:sz w:val="14"/>
                <w:szCs w:val="14"/>
                <w:color w:val="auto"/>
              </w:rPr>
            </w:pPr>
          </w:p>
        </w:tc>
        <w:tc>
          <w:tcPr>
            <w:tcW w:w="1000" w:type="dxa"/>
            <w:vAlign w:val="bottom"/>
            <w:tcBorders>
              <w:bottom w:val="single" w:sz="8" w:color="1B0088"/>
            </w:tcBorders>
          </w:tcPr>
          <w:p>
            <w:pPr>
              <w:spacing w:after="0"/>
              <w:rPr>
                <w:sz w:val="14"/>
                <w:szCs w:val="14"/>
                <w:color w:val="auto"/>
              </w:rPr>
            </w:pPr>
          </w:p>
        </w:tc>
        <w:tc>
          <w:tcPr>
            <w:tcW w:w="1260" w:type="dxa"/>
            <w:vAlign w:val="bottom"/>
            <w:tcBorders>
              <w:bottom w:val="single" w:sz="8" w:color="1B0088"/>
            </w:tcBorders>
          </w:tcPr>
          <w:p>
            <w:pPr>
              <w:spacing w:after="0"/>
              <w:rPr>
                <w:sz w:val="14"/>
                <w:szCs w:val="14"/>
                <w:color w:val="auto"/>
              </w:rPr>
            </w:pPr>
          </w:p>
        </w:tc>
        <w:tc>
          <w:tcPr>
            <w:tcW w:w="1120" w:type="dxa"/>
            <w:vAlign w:val="bottom"/>
            <w:tcBorders>
              <w:bottom w:val="single" w:sz="8" w:color="1B0088"/>
            </w:tcBorders>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CARGO LOAD FACTOR</w:t>
            </w:r>
          </w:p>
        </w:tc>
        <w:tc>
          <w:tcPr>
            <w:tcW w:w="1040" w:type="dxa"/>
            <w:vAlign w:val="bottom"/>
            <w:shd w:val="clear" w:color="auto" w:fill="1B0074"/>
          </w:tcPr>
          <w:p>
            <w:pPr>
              <w:spacing w:after="0"/>
              <w:rPr>
                <w:sz w:val="21"/>
                <w:szCs w:val="21"/>
                <w:color w:val="auto"/>
              </w:rPr>
            </w:pPr>
          </w:p>
        </w:tc>
        <w:tc>
          <w:tcPr>
            <w:tcW w:w="1140" w:type="dxa"/>
            <w:vAlign w:val="bottom"/>
            <w:shd w:val="clear" w:color="auto" w:fill="1B0074"/>
          </w:tcPr>
          <w:p>
            <w:pPr>
              <w:spacing w:after="0"/>
              <w:rPr>
                <w:sz w:val="21"/>
                <w:szCs w:val="21"/>
                <w:color w:val="auto"/>
              </w:rPr>
            </w:pPr>
          </w:p>
        </w:tc>
        <w:tc>
          <w:tcPr>
            <w:tcW w:w="116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88"/>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140" w:type="dxa"/>
            <w:vAlign w:val="bottom"/>
            <w:tcBorders>
              <w:bottom w:val="single" w:sz="8" w:color="1B0074"/>
            </w:tcBorders>
            <w:shd w:val="clear" w:color="auto" w:fill="1B0074"/>
          </w:tcPr>
          <w:p>
            <w:pPr>
              <w:spacing w:after="0"/>
              <w:rPr>
                <w:sz w:val="14"/>
                <w:szCs w:val="14"/>
                <w:color w:val="auto"/>
              </w:rPr>
            </w:pPr>
          </w:p>
        </w:tc>
        <w:tc>
          <w:tcPr>
            <w:tcW w:w="116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tcBorders>
              <w:bottom w:val="single" w:sz="8" w:color="1B0074"/>
            </w:tcBorders>
            <w:shd w:val="clear" w:color="auto" w:fill="1B0074"/>
          </w:tcPr>
          <w:p>
            <w:pPr>
              <w:spacing w:after="0"/>
              <w:rPr>
                <w:sz w:val="14"/>
                <w:szCs w:val="14"/>
                <w:color w:val="auto"/>
              </w:rPr>
            </w:pPr>
          </w:p>
        </w:tc>
        <w:tc>
          <w:tcPr>
            <w:tcW w:w="1260" w:type="dxa"/>
            <w:vAlign w:val="bottom"/>
            <w:tcBorders>
              <w:bottom w:val="single" w:sz="8" w:color="1B0074"/>
            </w:tcBorders>
            <w:shd w:val="clear" w:color="auto" w:fill="1B0074"/>
          </w:tcPr>
          <w:p>
            <w:pPr>
              <w:spacing w:after="0"/>
              <w:rPr>
                <w:sz w:val="14"/>
                <w:szCs w:val="14"/>
                <w:color w:val="auto"/>
              </w:rPr>
            </w:pPr>
          </w:p>
        </w:tc>
        <w:tc>
          <w:tcPr>
            <w:tcW w:w="1120" w:type="dxa"/>
            <w:vAlign w:val="bottom"/>
            <w:tcBorders>
              <w:bottom w:val="single" w:sz="8" w:color="1B0074"/>
              <w:right w:val="single" w:sz="8" w:color="1B0088"/>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52.5%</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53.4%</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rPr>
              <w:t>-0.9p.p</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49.6%</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52.1%</w:t>
            </w:r>
          </w:p>
        </w:tc>
        <w:tc>
          <w:tcPr>
            <w:tcW w:w="1120" w:type="dxa"/>
            <w:vAlign w:val="bottom"/>
            <w:tcBorders>
              <w:right w:val="single" w:sz="8" w:color="1B0088"/>
            </w:tcBorders>
          </w:tcPr>
          <w:p>
            <w:pPr>
              <w:jc w:val="center"/>
              <w:spacing w:after="0"/>
              <w:rPr>
                <w:sz w:val="20"/>
                <w:szCs w:val="20"/>
                <w:color w:val="auto"/>
              </w:rPr>
            </w:pPr>
            <w:r>
              <w:rPr>
                <w:rFonts w:ascii="Arial" w:cs="Arial" w:eastAsia="Arial" w:hAnsi="Arial"/>
                <w:sz w:val="16"/>
                <w:szCs w:val="16"/>
                <w:b w:val="1"/>
                <w:bCs w:val="1"/>
                <w:color w:val="auto"/>
              </w:rPr>
              <w:t>-2.5p.p</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bottom w:val="single" w:sz="8" w:color="1B0088"/>
              <w:right w:val="single" w:sz="8" w:color="1B0074"/>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140" w:type="dxa"/>
            <w:vAlign w:val="bottom"/>
            <w:tcBorders>
              <w:bottom w:val="single" w:sz="8" w:color="1B0088"/>
            </w:tcBorders>
          </w:tcPr>
          <w:p>
            <w:pPr>
              <w:spacing w:after="0"/>
              <w:rPr>
                <w:sz w:val="14"/>
                <w:szCs w:val="14"/>
                <w:color w:val="auto"/>
              </w:rPr>
            </w:pPr>
          </w:p>
        </w:tc>
        <w:tc>
          <w:tcPr>
            <w:tcW w:w="1160" w:type="dxa"/>
            <w:vAlign w:val="bottom"/>
            <w:tcBorders>
              <w:bottom w:val="single" w:sz="8" w:color="1B0088"/>
              <w:right w:val="single" w:sz="8" w:color="1B0074"/>
            </w:tcBorders>
          </w:tcPr>
          <w:p>
            <w:pPr>
              <w:spacing w:after="0"/>
              <w:rPr>
                <w:sz w:val="14"/>
                <w:szCs w:val="14"/>
                <w:color w:val="auto"/>
              </w:rPr>
            </w:pPr>
          </w:p>
        </w:tc>
        <w:tc>
          <w:tcPr>
            <w:tcW w:w="1000" w:type="dxa"/>
            <w:vAlign w:val="bottom"/>
            <w:tcBorders>
              <w:bottom w:val="single" w:sz="8" w:color="1B0088"/>
            </w:tcBorders>
          </w:tcPr>
          <w:p>
            <w:pPr>
              <w:spacing w:after="0"/>
              <w:rPr>
                <w:sz w:val="14"/>
                <w:szCs w:val="14"/>
                <w:color w:val="auto"/>
              </w:rPr>
            </w:pPr>
          </w:p>
        </w:tc>
        <w:tc>
          <w:tcPr>
            <w:tcW w:w="1260" w:type="dxa"/>
            <w:vAlign w:val="bottom"/>
            <w:tcBorders>
              <w:bottom w:val="single" w:sz="8" w:color="1B0088"/>
            </w:tcBorders>
          </w:tcPr>
          <w:p>
            <w:pPr>
              <w:spacing w:after="0"/>
              <w:rPr>
                <w:sz w:val="14"/>
                <w:szCs w:val="14"/>
                <w:color w:val="auto"/>
              </w:rPr>
            </w:pPr>
          </w:p>
        </w:tc>
        <w:tc>
          <w:tcPr>
            <w:tcW w:w="1120" w:type="dxa"/>
            <w:vAlign w:val="bottom"/>
            <w:tcBorders>
              <w:bottom w:val="single" w:sz="8" w:color="1B0088"/>
              <w:right w:val="single" w:sz="8" w:color="1B0088"/>
            </w:tcBorders>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CARGO TONS TRANSPORTED (thousand)</w:t>
            </w:r>
          </w:p>
        </w:tc>
        <w:tc>
          <w:tcPr>
            <w:tcW w:w="1040" w:type="dxa"/>
            <w:vAlign w:val="bottom"/>
            <w:shd w:val="clear" w:color="auto" w:fill="1B0074"/>
          </w:tcPr>
          <w:p>
            <w:pPr>
              <w:spacing w:after="0"/>
              <w:rPr>
                <w:sz w:val="21"/>
                <w:szCs w:val="21"/>
                <w:color w:val="auto"/>
              </w:rPr>
            </w:pPr>
          </w:p>
        </w:tc>
        <w:tc>
          <w:tcPr>
            <w:tcW w:w="1140" w:type="dxa"/>
            <w:vAlign w:val="bottom"/>
            <w:shd w:val="clear" w:color="auto" w:fill="1B0074"/>
          </w:tcPr>
          <w:p>
            <w:pPr>
              <w:spacing w:after="0"/>
              <w:rPr>
                <w:sz w:val="21"/>
                <w:szCs w:val="21"/>
                <w:color w:val="auto"/>
              </w:rPr>
            </w:pPr>
          </w:p>
        </w:tc>
        <w:tc>
          <w:tcPr>
            <w:tcW w:w="116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88"/>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140" w:type="dxa"/>
            <w:vAlign w:val="bottom"/>
            <w:tcBorders>
              <w:bottom w:val="single" w:sz="8" w:color="1B0074"/>
            </w:tcBorders>
            <w:shd w:val="clear" w:color="auto" w:fill="1B0074"/>
          </w:tcPr>
          <w:p>
            <w:pPr>
              <w:spacing w:after="0"/>
              <w:rPr>
                <w:sz w:val="14"/>
                <w:szCs w:val="14"/>
                <w:color w:val="auto"/>
              </w:rPr>
            </w:pPr>
          </w:p>
        </w:tc>
        <w:tc>
          <w:tcPr>
            <w:tcW w:w="116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tcBorders>
              <w:bottom w:val="single" w:sz="8" w:color="1B0074"/>
            </w:tcBorders>
            <w:shd w:val="clear" w:color="auto" w:fill="1B0074"/>
          </w:tcPr>
          <w:p>
            <w:pPr>
              <w:spacing w:after="0"/>
              <w:rPr>
                <w:sz w:val="14"/>
                <w:szCs w:val="14"/>
                <w:color w:val="auto"/>
              </w:rPr>
            </w:pPr>
          </w:p>
        </w:tc>
        <w:tc>
          <w:tcPr>
            <w:tcW w:w="1260" w:type="dxa"/>
            <w:vAlign w:val="bottom"/>
            <w:tcBorders>
              <w:bottom w:val="single" w:sz="8" w:color="1B0074"/>
            </w:tcBorders>
            <w:shd w:val="clear" w:color="auto" w:fill="1B0074"/>
          </w:tcPr>
          <w:p>
            <w:pPr>
              <w:spacing w:after="0"/>
              <w:rPr>
                <w:sz w:val="14"/>
                <w:szCs w:val="14"/>
                <w:color w:val="auto"/>
              </w:rPr>
            </w:pPr>
          </w:p>
        </w:tc>
        <w:tc>
          <w:tcPr>
            <w:tcW w:w="1120" w:type="dxa"/>
            <w:vAlign w:val="bottom"/>
            <w:tcBorders>
              <w:bottom w:val="single" w:sz="8" w:color="1B0074"/>
              <w:right w:val="single" w:sz="8" w:color="1B0088"/>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82</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79</w:t>
            </w:r>
          </w:p>
        </w:tc>
        <w:tc>
          <w:tcPr>
            <w:tcW w:w="116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8"/>
              </w:rPr>
              <w:t>3.6%</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165</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162</w:t>
            </w:r>
          </w:p>
        </w:tc>
        <w:tc>
          <w:tcPr>
            <w:tcW w:w="1120" w:type="dxa"/>
            <w:vAlign w:val="bottom"/>
            <w:tcBorders>
              <w:right w:val="single" w:sz="8" w:color="1B0088"/>
            </w:tcBorders>
          </w:tcPr>
          <w:p>
            <w:pPr>
              <w:jc w:val="center"/>
              <w:spacing w:after="0"/>
              <w:rPr>
                <w:sz w:val="20"/>
                <w:szCs w:val="20"/>
                <w:color w:val="auto"/>
              </w:rPr>
            </w:pPr>
            <w:r>
              <w:rPr>
                <w:rFonts w:ascii="Arial" w:cs="Arial" w:eastAsia="Arial" w:hAnsi="Arial"/>
                <w:sz w:val="16"/>
                <w:szCs w:val="16"/>
                <w:b w:val="1"/>
                <w:bCs w:val="1"/>
                <w:color w:val="auto"/>
              </w:rPr>
              <w:t>1.8%</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bottom w:val="single" w:sz="8" w:color="1B0088"/>
              <w:right w:val="single" w:sz="8" w:color="1B0074"/>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140" w:type="dxa"/>
            <w:vAlign w:val="bottom"/>
            <w:tcBorders>
              <w:bottom w:val="single" w:sz="8" w:color="1B0088"/>
            </w:tcBorders>
          </w:tcPr>
          <w:p>
            <w:pPr>
              <w:spacing w:after="0"/>
              <w:rPr>
                <w:sz w:val="14"/>
                <w:szCs w:val="14"/>
                <w:color w:val="auto"/>
              </w:rPr>
            </w:pPr>
          </w:p>
        </w:tc>
        <w:tc>
          <w:tcPr>
            <w:tcW w:w="1160" w:type="dxa"/>
            <w:vAlign w:val="bottom"/>
            <w:tcBorders>
              <w:bottom w:val="single" w:sz="8" w:color="1B0088"/>
              <w:right w:val="single" w:sz="8" w:color="1B0074"/>
            </w:tcBorders>
          </w:tcPr>
          <w:p>
            <w:pPr>
              <w:spacing w:after="0"/>
              <w:rPr>
                <w:sz w:val="14"/>
                <w:szCs w:val="14"/>
                <w:color w:val="auto"/>
              </w:rPr>
            </w:pPr>
          </w:p>
        </w:tc>
        <w:tc>
          <w:tcPr>
            <w:tcW w:w="1000" w:type="dxa"/>
            <w:vAlign w:val="bottom"/>
            <w:tcBorders>
              <w:bottom w:val="single" w:sz="8" w:color="1B0088"/>
            </w:tcBorders>
          </w:tcPr>
          <w:p>
            <w:pPr>
              <w:spacing w:after="0"/>
              <w:rPr>
                <w:sz w:val="14"/>
                <w:szCs w:val="14"/>
                <w:color w:val="auto"/>
              </w:rPr>
            </w:pPr>
          </w:p>
        </w:tc>
        <w:tc>
          <w:tcPr>
            <w:tcW w:w="1260" w:type="dxa"/>
            <w:vAlign w:val="bottom"/>
            <w:tcBorders>
              <w:bottom w:val="single" w:sz="8" w:color="1B0088"/>
            </w:tcBorders>
          </w:tcPr>
          <w:p>
            <w:pPr>
              <w:spacing w:after="0"/>
              <w:rPr>
                <w:sz w:val="14"/>
                <w:szCs w:val="14"/>
                <w:color w:val="auto"/>
              </w:rPr>
            </w:pPr>
          </w:p>
        </w:tc>
        <w:tc>
          <w:tcPr>
            <w:tcW w:w="1120" w:type="dxa"/>
            <w:vAlign w:val="bottom"/>
            <w:tcBorders>
              <w:bottom w:val="single" w:sz="8" w:color="1B0088"/>
              <w:right w:val="single" w:sz="8" w:color="1B0088"/>
            </w:tcBorders>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40" w:hanging="214"/>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Domestic SSC refers to domestic operations of LATAM Airlines Chile, LATAM Airlines Colombia, LATAM Airlines Ecuador and LATAM Airlines Peru.</w:t>
      </w:r>
    </w:p>
    <w:p>
      <w:pPr>
        <w:spacing w:after="0" w:line="68" w:lineRule="exact"/>
        <w:rPr>
          <w:rFonts w:ascii="Arial" w:cs="Arial" w:eastAsia="Arial" w:hAnsi="Arial"/>
          <w:sz w:val="14"/>
          <w:szCs w:val="14"/>
          <w:color w:val="auto"/>
        </w:rPr>
      </w:pPr>
    </w:p>
    <w:p>
      <w:pPr>
        <w:ind w:left="240" w:hanging="214"/>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Domestic Brazil refers to LATAM Airlines Brazil domestic operations.</w:t>
      </w:r>
    </w:p>
    <w:p>
      <w:pPr>
        <w:spacing w:after="0" w:line="217" w:lineRule="exact"/>
        <w:rPr>
          <w:rFonts w:ascii="Arial" w:cs="Arial" w:eastAsia="Arial" w:hAnsi="Arial"/>
          <w:sz w:val="14"/>
          <w:szCs w:val="14"/>
          <w:color w:val="auto"/>
        </w:rPr>
      </w:pPr>
    </w:p>
    <w:p>
      <w:pPr>
        <w:ind w:left="20" w:right="100" w:firstLine="6"/>
        <w:spacing w:after="0" w:line="305" w:lineRule="auto"/>
        <w:tabs>
          <w:tab w:leader="none" w:pos="236" w:val="left"/>
        </w:tabs>
        <w:numPr>
          <w:ilvl w:val="0"/>
          <w:numId w:val="1"/>
        </w:numPr>
        <w:rPr>
          <w:rFonts w:ascii="Arial" w:cs="Arial" w:eastAsia="Arial" w:hAnsi="Arial"/>
          <w:sz w:val="14"/>
          <w:szCs w:val="14"/>
          <w:color w:val="auto"/>
        </w:rPr>
      </w:pPr>
      <w:r>
        <w:rPr>
          <w:rFonts w:ascii="Arial" w:cs="Arial" w:eastAsia="Arial" w:hAnsi="Arial"/>
          <w:sz w:val="14"/>
          <w:szCs w:val="14"/>
          <w:color w:val="auto"/>
        </w:rPr>
        <w:t>International refers to international operations of LATAM Airlines Brazil, LATAM Airlines Chile, LATAM Airlines Colombia, LATAM Airlines Ecuador, LATAM Airlines Peru and LATAM Airlines Paraguay.</w:t>
      </w:r>
    </w:p>
    <w:p>
      <w:pPr>
        <w:sectPr>
          <w:pgSz w:w="11900" w:h="16838" w:orient="portrait"/>
          <w:cols w:equalWidth="0" w:num="1">
            <w:col w:w="11220"/>
          </w:cols>
          <w:pgMar w:left="320" w:top="167" w:right="359" w:bottom="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586359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68580"/>
                    </a:xfrm>
                    <a:prstGeom prst="rect">
                      <a:avLst/>
                    </a:prstGeom>
                    <a:noFill/>
                  </pic:spPr>
                </pic:pic>
              </a:graphicData>
            </a:graphic>
          </wp:anchor>
        </w:drawing>
        <w:t>INVESTOR RELATIONS CONTACT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LATAM Airlines Group S.A.</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InvestorRelations@latam.com</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Tel: (56-2) 2565-3844</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ir.latam.com</w:t>
      </w:r>
    </w:p>
    <w:p>
      <w:pPr>
        <w:sectPr>
          <w:pgSz w:w="11900" w:h="16838" w:orient="portrait"/>
          <w:cols w:equalWidth="0" w:num="1">
            <w:col w:w="10139"/>
          </w:cols>
          <w:pgMar w:left="320" w:top="1013"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98030"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6686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7F7F7F"/>
        </w:rPr>
        <w:t>ABOUT LATAM GROUP</w:t>
      </w:r>
    </w:p>
    <w:p>
      <w:pPr>
        <w:spacing w:after="0" w:line="208"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7F7F7F"/>
        </w:rPr>
        <w:t>LATAM Airlines Group S.A. and its affiliates are the principal group of airlines in Latin America present in five domestic markets in the region: Brazil, Chile, Colombia, Ecuador and Peru, in addition to international operations within Latin America and to / from Europe, the United States, Oceania, Africa and the Caribbean.</w:t>
      </w:r>
    </w:p>
    <w:p>
      <w:pPr>
        <w:spacing w:after="0" w:line="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7F7F7F"/>
        </w:rPr>
        <w:t>The group has a fleet of Boeing 767, 777, 787, Airbus A321, A321Neo, A320, A320Neo, and A319 aircraft. Additionally, the Airbus 330, operated under short-term leases, is also part of the current operations.</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7F7F7F"/>
        </w:rPr>
        <w:t>LATAM Cargo Chile, LATAM Cargo Colombia and LATAM Cargo Brazil are the LATAM group cargo subsidiaries. In addition to having access to the bellies of the passenger affiliate’s aircraft, they have a fleet of 20 freighters. They operate on the LATAM group network as well as international routes that are solely used for freighters. They offer modern infrastructure, a wide variety of services and protection options to meet all customer needs.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7F7F7F"/>
        </w:rPr>
        <w:t xml:space="preserve">More financial information at </w:t>
      </w:r>
      <w:r>
        <w:rPr>
          <w:rFonts w:ascii="Arial" w:cs="Arial" w:eastAsia="Arial" w:hAnsi="Arial"/>
          <w:sz w:val="16"/>
          <w:szCs w:val="16"/>
          <w:u w:val="single" w:color="auto"/>
          <w:color w:val="7F7F7F"/>
        </w:rPr>
        <w:t>ir.latam.com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1155CC"/>
        </w:rPr>
        <w:t>www.latam.com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655320</wp:posOffset>
            </wp:positionV>
            <wp:extent cx="586359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INVESTOR RELATIONS CONTACT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LATAM Airlines Group S.A.</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InvestorRelations@latam.com</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Tel: (56-2) 2565-3844</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ir.latam.com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2026-03-09T16:26:26Z</dcterms:created>
  <dcterms:modified xsi:type="dcterms:W3CDTF">2026-03-09T16:26:26Z</dcterms:modified>
</cp:coreProperties>
</file>